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colors1.xml" ContentType="application/vnd.ms-office.chartcolorstyle+xml"/>
  <Override PartName="/word/charts/chart/style1.xml" ContentType="application/vnd.ms-office.chartstyle+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F23C9A" w:rsidP="00F23C9A">
      <w:pPr>
        <w:pBdr>
          <w:bottom w:val="single" w:sz="12" w:space="1" w:color="auto"/>
        </w:pBdr>
        <w:rPr>
          <w:b/>
          <w:bCs/>
          <w:sz w:val="28"/>
          <w:szCs w:val="28"/>
        </w:rPr>
      </w:pPr>
      <w:bookmarkStart w:id="0" w:name="_GoBack"/>
      <w:bookmarkEnd w:id="0"/>
      <w:r>
        <w:rPr>
          <w:b/>
          <w:bCs/>
          <w:sz w:val="28"/>
          <w:szCs w:val="28"/>
        </w:rPr>
        <w:t>Treasury Management Strategy 2021/22</w:t>
      </w:r>
    </w:p>
    <w:p w:rsidR="00F23C9A" w:rsidRPr="00F86B98" w:rsidP="00F23C9A">
      <w:pPr>
        <w:pBdr>
          <w:bottom w:val="single" w:sz="12" w:space="1" w:color="auto"/>
        </w:pBdr>
        <w:rPr>
          <w:bCs/>
        </w:rPr>
      </w:pPr>
      <w:r>
        <w:rPr>
          <w:b/>
          <w:bCs/>
          <w:sz w:val="28"/>
          <w:szCs w:val="28"/>
        </w:rPr>
        <w:t xml:space="preserve"> </w:t>
      </w:r>
    </w:p>
    <w:p w:rsidR="00F23C9A" w:rsidP="00F23C9A">
      <w:pPr>
        <w:jc w:val="both"/>
      </w:pPr>
    </w:p>
    <w:p w:rsidR="00F23C9A" w:rsidRPr="006330B4" w:rsidP="00F23C9A">
      <w:pPr>
        <w:jc w:val="both"/>
      </w:pPr>
      <w:r w:rsidRPr="006330B4">
        <w:t>Under the Local Government Act 2003, local authorities must have regard to statutory proper practices in their treasury management activities. In effect this means the council must adhere to the Chartered Institute of Public Finance and Accountancy’s 'Treasury Management in the Public Services: Code of Practice' (the CIPFA Code), and the Ministry of Ho</w:t>
      </w:r>
      <w:r>
        <w:t>using</w:t>
      </w:r>
      <w:r w:rsidRPr="006330B4">
        <w:t>, Communities and Local Government</w:t>
      </w:r>
      <w:r>
        <w:t xml:space="preserve"> (MHCLG)</w:t>
      </w:r>
      <w:r w:rsidRPr="006330B4">
        <w:t xml:space="preserve"> </w:t>
      </w:r>
      <w:r>
        <w:t xml:space="preserve">statutory </w:t>
      </w:r>
      <w:r w:rsidRPr="006330B4">
        <w:t>guidance on local authority investments.</w:t>
      </w:r>
    </w:p>
    <w:p w:rsidR="00F23C9A" w:rsidRPr="006330B4" w:rsidP="00F23C9A">
      <w:pPr>
        <w:jc w:val="both"/>
      </w:pPr>
    </w:p>
    <w:p w:rsidR="00F23C9A" w:rsidRPr="006330B4" w:rsidP="00F23C9A">
      <w:pPr>
        <w:jc w:val="both"/>
      </w:pPr>
      <w:r w:rsidRPr="006330B4">
        <w:t xml:space="preserve">The </w:t>
      </w:r>
      <w:r w:rsidRPr="00F23C9A">
        <w:t xml:space="preserve">Chartered Institute of Public Finance and Accountancy’s </w:t>
      </w:r>
      <w:r>
        <w:t>C</w:t>
      </w:r>
      <w:r w:rsidRPr="006330B4">
        <w:t xml:space="preserve">ode requires the Treasury Management Strategy to be produced and approved annually. </w:t>
      </w:r>
      <w:r>
        <w:t xml:space="preserve">The updated </w:t>
      </w:r>
      <w:r w:rsidRPr="00F23C9A">
        <w:t>Ministry of Ho</w:t>
      </w:r>
      <w:r>
        <w:t>using</w:t>
      </w:r>
      <w:r w:rsidRPr="00F23C9A">
        <w:t>, Communities and Local Government</w:t>
      </w:r>
      <w:r w:rsidRPr="006330B4">
        <w:t xml:space="preserve"> statutory guidance on local government investments</w:t>
      </w:r>
      <w:r>
        <w:t>,</w:t>
      </w:r>
      <w:r w:rsidRPr="006330B4">
        <w:t xml:space="preserve"> now covers a wider definition of investments</w:t>
      </w:r>
      <w:r>
        <w:t>. It</w:t>
      </w:r>
      <w:r w:rsidRPr="006330B4">
        <w:t xml:space="preserve"> includes those that support local public services by lending to or buying shares in other organisations (service investments), and those made to earn investment income (known as commercial investments where this is the main purpose). </w:t>
      </w:r>
      <w:r>
        <w:t>These i</w:t>
      </w:r>
      <w:r w:rsidRPr="006330B4">
        <w:t xml:space="preserve">nvestments held for service purposes or for commercial profit are considered in </w:t>
      </w:r>
      <w:r>
        <w:t>t</w:t>
      </w:r>
      <w:r w:rsidRPr="006330B4">
        <w:t>he Non-Treasury Investment Strategy.</w:t>
      </w:r>
    </w:p>
    <w:p w:rsidR="00F23C9A" w:rsidRPr="006330B4" w:rsidP="00F23C9A"/>
    <w:p w:rsidR="00F23C9A" w:rsidRPr="006330B4" w:rsidP="00F23C9A">
      <w:pPr>
        <w:jc w:val="both"/>
      </w:pPr>
      <w:r>
        <w:t xml:space="preserve">Together with </w:t>
      </w:r>
      <w:r w:rsidRPr="006330B4">
        <w:t xml:space="preserve">the detailed treasury management practices approved by the Director of Finance, the strategy provides the policy framework for the engagement of the council with financial markets in order to fund its capital investment programme, to maintain the security of its cash balances </w:t>
      </w:r>
      <w:r>
        <w:t>considering</w:t>
      </w:r>
      <w:r w:rsidRPr="006330B4">
        <w:t xml:space="preserve"> credit, liquidity, inflation and interest rate risk.</w:t>
      </w:r>
    </w:p>
    <w:p w:rsidR="00F23C9A" w:rsidRPr="006330B4" w:rsidP="00F23C9A"/>
    <w:p w:rsidR="00F23C9A" w:rsidP="00F23C9A">
      <w:pPr>
        <w:jc w:val="both"/>
      </w:pPr>
      <w:r w:rsidRPr="006330B4">
        <w:t>The strategy includes provisions for borrowing, treasury investments, financial derivatives and the indicators that will be used for monitoring purposes throughout the year. It is designed to achieve the following objectives:</w:t>
      </w:r>
    </w:p>
    <w:p w:rsidR="00F23C9A" w:rsidRPr="006330B4" w:rsidP="00F23C9A">
      <w:pPr>
        <w:jc w:val="both"/>
      </w:pPr>
    </w:p>
    <w:p w:rsidR="00F23C9A" w:rsidRPr="006330B4" w:rsidP="00F23C9A">
      <w:pPr>
        <w:pStyle w:val="ListParagraph"/>
        <w:numPr>
          <w:ilvl w:val="0"/>
          <w:numId w:val="28"/>
        </w:numPr>
        <w:jc w:val="both"/>
      </w:pPr>
      <w:r w:rsidRPr="006330B4">
        <w:t>To ensure the security of the principal sums invested which represent the council's various reserves and balances.</w:t>
      </w:r>
    </w:p>
    <w:p w:rsidR="00F23C9A" w:rsidRPr="006330B4" w:rsidP="00F23C9A">
      <w:pPr>
        <w:pStyle w:val="ListParagraph"/>
        <w:numPr>
          <w:ilvl w:val="0"/>
          <w:numId w:val="28"/>
        </w:numPr>
        <w:jc w:val="both"/>
      </w:pPr>
      <w:r w:rsidRPr="006330B4">
        <w:t>To ensure that the council has access to cash resources as and when required.</w:t>
      </w:r>
    </w:p>
    <w:p w:rsidR="00F23C9A" w:rsidRPr="006330B4" w:rsidP="00F23C9A">
      <w:pPr>
        <w:pStyle w:val="ListParagraph"/>
        <w:numPr>
          <w:ilvl w:val="0"/>
          <w:numId w:val="28"/>
        </w:numPr>
        <w:jc w:val="both"/>
      </w:pPr>
      <w:r w:rsidRPr="006330B4">
        <w:t xml:space="preserve">To minimise the cost of the borrowing required to finance the council's capital investment programme, and manage interest and inflation rate risks appropriately. </w:t>
      </w:r>
    </w:p>
    <w:p w:rsidR="00F23C9A" w:rsidRPr="006330B4" w:rsidP="00F23C9A">
      <w:pPr>
        <w:pStyle w:val="ListParagraph"/>
        <w:numPr>
          <w:ilvl w:val="0"/>
          <w:numId w:val="28"/>
        </w:numPr>
        <w:jc w:val="both"/>
      </w:pPr>
      <w:r w:rsidRPr="006330B4">
        <w:t>To maximise investment returns commensurate with the council's policy of minimising risks to the security of capital and its liquidity position.</w:t>
      </w:r>
    </w:p>
    <w:p w:rsidR="00F23C9A" w:rsidRPr="006330B4" w:rsidP="00F23C9A"/>
    <w:p w:rsidR="00F23C9A" w:rsidP="00F23C9A">
      <w:pPr>
        <w:jc w:val="both"/>
      </w:pPr>
      <w:r w:rsidRPr="006330B4">
        <w:t xml:space="preserve">In setting the treasury management strategy, the following factors </w:t>
      </w:r>
      <w:r>
        <w:t>are important</w:t>
      </w:r>
      <w:r w:rsidRPr="006330B4">
        <w:t>:</w:t>
      </w:r>
    </w:p>
    <w:p w:rsidR="00F23C9A" w:rsidRPr="006330B4" w:rsidP="00F23C9A">
      <w:pPr>
        <w:jc w:val="both"/>
      </w:pPr>
      <w:r w:rsidRPr="006330B4">
        <w:t xml:space="preserve"> </w:t>
      </w:r>
    </w:p>
    <w:p w:rsidR="00F23C9A" w:rsidRPr="006330B4" w:rsidP="00F23C9A">
      <w:pPr>
        <w:pStyle w:val="ListParagraph"/>
        <w:numPr>
          <w:ilvl w:val="0"/>
          <w:numId w:val="3"/>
        </w:numPr>
        <w:ind w:left="360"/>
        <w:jc w:val="both"/>
      </w:pPr>
      <w:r w:rsidRPr="006330B4">
        <w:t>the economic position</w:t>
      </w:r>
      <w:r>
        <w:t>,</w:t>
      </w:r>
    </w:p>
    <w:p w:rsidR="00F23C9A" w:rsidRPr="006330B4" w:rsidP="00F23C9A">
      <w:pPr>
        <w:pStyle w:val="ListParagraph"/>
        <w:numPr>
          <w:ilvl w:val="0"/>
          <w:numId w:val="3"/>
        </w:numPr>
        <w:ind w:left="360"/>
        <w:jc w:val="both"/>
      </w:pPr>
      <w:r w:rsidRPr="006330B4">
        <w:t>the council's current investment and borrowing portfolio</w:t>
      </w:r>
      <w:r>
        <w:t xml:space="preserve"> and</w:t>
      </w:r>
    </w:p>
    <w:p w:rsidR="00F23C9A" w:rsidRPr="006330B4" w:rsidP="00F23C9A">
      <w:pPr>
        <w:pStyle w:val="ListParagraph"/>
        <w:numPr>
          <w:ilvl w:val="0"/>
          <w:numId w:val="3"/>
        </w:numPr>
        <w:ind w:left="360"/>
        <w:jc w:val="both"/>
      </w:pPr>
      <w:r w:rsidRPr="006330B4">
        <w:t>estimates of future borrowing and investment requirements</w:t>
      </w:r>
    </w:p>
    <w:p w:rsidR="00F23C9A" w:rsidRPr="00707E3B" w:rsidP="00F23C9A">
      <w:pPr>
        <w:jc w:val="both"/>
        <w:rPr>
          <w:b/>
          <w:bCs/>
          <w:i/>
          <w:highlight w:val="yellow"/>
        </w:rPr>
      </w:pPr>
    </w:p>
    <w:p w:rsidR="00F23C9A" w:rsidRPr="009F6C5A" w:rsidP="00F23C9A">
      <w:pPr>
        <w:jc w:val="both"/>
        <w:rPr>
          <w:b/>
          <w:i/>
        </w:rPr>
      </w:pPr>
      <w:r w:rsidRPr="009F6C5A">
        <w:rPr>
          <w:b/>
          <w:bCs/>
          <w:i/>
        </w:rPr>
        <w:t>Economic</w:t>
      </w:r>
      <w:r w:rsidRPr="009F6C5A">
        <w:rPr>
          <w:b/>
          <w:i/>
        </w:rPr>
        <w:t xml:space="preserve"> position </w:t>
      </w:r>
    </w:p>
    <w:p w:rsidR="00F23C9A" w:rsidRPr="009F6C5A" w:rsidP="00F23C9A">
      <w:pPr>
        <w:jc w:val="both"/>
        <w:rPr>
          <w:b/>
          <w:i/>
        </w:rPr>
      </w:pPr>
    </w:p>
    <w:p w:rsidR="00F23C9A" w:rsidP="00F23C9A">
      <w:pPr>
        <w:pStyle w:val="ListParagraph"/>
        <w:ind w:left="0"/>
        <w:contextualSpacing w:val="0"/>
        <w:jc w:val="both"/>
      </w:pPr>
      <w:r w:rsidRPr="009F6C5A">
        <w:t>The</w:t>
      </w:r>
      <w:r w:rsidRPr="00420162">
        <w:t xml:space="preserve"> impact on the UK</w:t>
      </w:r>
      <w:r>
        <w:t xml:space="preserve"> economy</w:t>
      </w:r>
      <w:r w:rsidRPr="00420162">
        <w:t xml:space="preserve"> from coronavirus, together with its exit from the European Union, </w:t>
      </w:r>
      <w:r>
        <w:t>is</w:t>
      </w:r>
      <w:r w:rsidRPr="00420162">
        <w:t xml:space="preserve"> a major influence on </w:t>
      </w:r>
      <w:r>
        <w:t>the economy from the start of</w:t>
      </w:r>
      <w:r w:rsidRPr="00420162">
        <w:t xml:space="preserve"> 2021.</w:t>
      </w:r>
      <w:r>
        <w:t xml:space="preserve"> Although the trade deal agreed with the European Union means t</w:t>
      </w:r>
      <w:r w:rsidRPr="00B27C3E">
        <w:t>here will be no taxes on goods (tariffs) or limits on the amount that can be traded (quotas) between the UK and the E</w:t>
      </w:r>
      <w:r>
        <w:t xml:space="preserve">uropean </w:t>
      </w:r>
      <w:r w:rsidRPr="00B27C3E">
        <w:t>U</w:t>
      </w:r>
      <w:r>
        <w:t>nion</w:t>
      </w:r>
      <w:r w:rsidRPr="00B27C3E">
        <w:t xml:space="preserve"> from 1 January</w:t>
      </w:r>
      <w:r>
        <w:t xml:space="preserve"> 2021, there are new checks and custom declarations on goods. Also the agreement does not allow the UK </w:t>
      </w:r>
      <w:r w:rsidRPr="00E479B9">
        <w:t>automatic right of access to E</w:t>
      </w:r>
      <w:r>
        <w:t xml:space="preserve">uropean </w:t>
      </w:r>
      <w:r w:rsidRPr="00E479B9">
        <w:t>U</w:t>
      </w:r>
      <w:r>
        <w:t>nion</w:t>
      </w:r>
      <w:r w:rsidRPr="00E479B9">
        <w:t xml:space="preserve"> markets</w:t>
      </w:r>
      <w:r>
        <w:t xml:space="preserve"> for services such as banking and accounting.</w:t>
      </w:r>
    </w:p>
    <w:p w:rsidR="00F23C9A" w:rsidRPr="00420162" w:rsidP="00F23C9A">
      <w:pPr>
        <w:pStyle w:val="ListParagraph"/>
        <w:ind w:left="0"/>
        <w:contextualSpacing w:val="0"/>
        <w:jc w:val="both"/>
      </w:pPr>
    </w:p>
    <w:p w:rsidR="00F23C9A" w:rsidP="00F23C9A">
      <w:pPr>
        <w:pStyle w:val="ListParagraph"/>
        <w:ind w:left="0"/>
        <w:contextualSpacing w:val="0"/>
        <w:jc w:val="both"/>
      </w:pPr>
      <w:r w:rsidRPr="00420162">
        <w:t xml:space="preserve">The Bank of </w:t>
      </w:r>
      <w:r w:rsidRPr="00420162" w:rsidR="00BC19F8">
        <w:t>England maintained</w:t>
      </w:r>
      <w:r w:rsidRPr="00420162">
        <w:t xml:space="preserve"> </w:t>
      </w:r>
      <w:r>
        <w:t xml:space="preserve">the </w:t>
      </w:r>
      <w:r w:rsidRPr="00420162">
        <w:t xml:space="preserve">Bank Rate at 0.10% in November 2020 and also extended its Quantitative Easing programme by £150 billion to £895 billion. The Monetary Policy Committee voted unanimously for both, but no mention was made of the potential future use of negative interest rates. Within the latest forecasts, the Bank expects the UK economy to shrink -2% in </w:t>
      </w:r>
      <w:r>
        <w:t xml:space="preserve">quarter </w:t>
      </w:r>
      <w:r w:rsidRPr="00420162">
        <w:t>4 2020</w:t>
      </w:r>
      <w:r>
        <w:t>,</w:t>
      </w:r>
      <w:r w:rsidRPr="00420162">
        <w:t xml:space="preserve"> before growing by 7.25% in 2021, lower than the previous forecast of 9%. The </w:t>
      </w:r>
      <w:r w:rsidRPr="00F23C9A">
        <w:t>Bank of England</w:t>
      </w:r>
      <w:r w:rsidRPr="00420162">
        <w:t xml:space="preserve"> also forecasts the economy will now take until </w:t>
      </w:r>
      <w:r>
        <w:t xml:space="preserve">quarter </w:t>
      </w:r>
      <w:r w:rsidRPr="00420162">
        <w:t>1 2022 to reach its pre-pandemic level rather than the end of 2021 as previously forecast.</w:t>
      </w:r>
    </w:p>
    <w:p w:rsidR="00F23C9A" w:rsidRPr="00420162" w:rsidP="00F23C9A">
      <w:pPr>
        <w:pStyle w:val="ListParagraph"/>
        <w:ind w:left="0"/>
        <w:contextualSpacing w:val="0"/>
        <w:jc w:val="both"/>
      </w:pPr>
    </w:p>
    <w:p w:rsidR="00F23C9A" w:rsidP="00F23C9A">
      <w:pPr>
        <w:pStyle w:val="ListParagraph"/>
        <w:ind w:left="0"/>
        <w:contextualSpacing w:val="0"/>
        <w:jc w:val="both"/>
      </w:pPr>
      <w:r w:rsidRPr="00420162">
        <w:t xml:space="preserve">UK Consumer Price Inflation (CPI) for September 2020 registered 0.5%, up from 0.2% in the previous month. Core inflation, which excludes the more volatile components, rose to 1.3% from 0.9%. The most recent labour market data for the three months to August 2020 showed the unemployment rate rose to 4.5% while the employment rate </w:t>
      </w:r>
      <w:r w:rsidRPr="00420162">
        <w:t xml:space="preserve">fell to 75.6%. Both measures are expected to deteriorate further due to the ongoing impact of coronavirus on the jobs market, particularly when the various government job retention schemes start to be unwound in 2021, with the </w:t>
      </w:r>
      <w:r w:rsidRPr="00933921">
        <w:t>Bank of England</w:t>
      </w:r>
      <w:r w:rsidRPr="00420162">
        <w:t xml:space="preserve"> forecasting unemployment will peak at 7.75% in </w:t>
      </w:r>
      <w:r>
        <w:t xml:space="preserve">quarter </w:t>
      </w:r>
      <w:r w:rsidRPr="00420162">
        <w:t xml:space="preserve">2 2021. </w:t>
      </w:r>
    </w:p>
    <w:p w:rsidR="00F23C9A" w:rsidRPr="00420162" w:rsidP="00F23C9A">
      <w:pPr>
        <w:pStyle w:val="ListParagraph"/>
        <w:ind w:left="0"/>
        <w:contextualSpacing w:val="0"/>
        <w:jc w:val="both"/>
      </w:pPr>
    </w:p>
    <w:p w:rsidR="00F23C9A" w:rsidP="00F23C9A">
      <w:pPr>
        <w:pStyle w:val="ListParagraph"/>
        <w:ind w:left="0"/>
        <w:contextualSpacing w:val="0"/>
        <w:jc w:val="both"/>
      </w:pPr>
      <w:r w:rsidRPr="00420162">
        <w:t>G</w:t>
      </w:r>
      <w:r>
        <w:t xml:space="preserve">ross </w:t>
      </w:r>
      <w:r w:rsidRPr="00420162">
        <w:t>D</w:t>
      </w:r>
      <w:r>
        <w:t xml:space="preserve">omestic </w:t>
      </w:r>
      <w:r w:rsidRPr="00420162">
        <w:t>P</w:t>
      </w:r>
      <w:r>
        <w:t>roduct (GDP)</w:t>
      </w:r>
      <w:r w:rsidRPr="00420162">
        <w:t xml:space="preserve"> growth fell by -19.8% in the second quarter of 2020, a much sharper contraction from -2.0% in the previous three months, with the annual rate falling -21.5% from -1.6%. All sectors fell quarter-on-quarter, with dramatic declines in construction (-35.7%), services (-19.2%) and production (-16.3%), and a more modest fall in agriculture (-5.9%). Monthly </w:t>
      </w:r>
      <w:r w:rsidRPr="00933921">
        <w:t>Gross Domestic Product</w:t>
      </w:r>
      <w:r w:rsidRPr="00420162">
        <w:t xml:space="preserve"> estimates have shown the economy is recovering</w:t>
      </w:r>
      <w:r>
        <w:t>,</w:t>
      </w:r>
      <w:r w:rsidRPr="00420162">
        <w:t xml:space="preserve"> but remains well below its pre-pandemic peak. Looking ahead, the B</w:t>
      </w:r>
      <w:r>
        <w:t xml:space="preserve">ank </w:t>
      </w:r>
      <w:r w:rsidRPr="00420162">
        <w:t>o</w:t>
      </w:r>
      <w:r>
        <w:t xml:space="preserve">f </w:t>
      </w:r>
      <w:r w:rsidRPr="00420162">
        <w:t>E</w:t>
      </w:r>
      <w:r>
        <w:t>ngland</w:t>
      </w:r>
      <w:r w:rsidRPr="00420162">
        <w:t xml:space="preserve">’s November Monetary Policy Report forecasts economic growth will rise in 2021 with </w:t>
      </w:r>
      <w:r w:rsidRPr="00933921">
        <w:t>Gross Domestic Product</w:t>
      </w:r>
      <w:r w:rsidRPr="00420162">
        <w:t xml:space="preserve"> reaching 11% in </w:t>
      </w:r>
      <w:r>
        <w:t xml:space="preserve">quarter </w:t>
      </w:r>
      <w:r w:rsidRPr="00420162">
        <w:t xml:space="preserve">4 2021, 3.1% in </w:t>
      </w:r>
      <w:r>
        <w:t xml:space="preserve">quarter </w:t>
      </w:r>
      <w:r w:rsidRPr="00420162">
        <w:t xml:space="preserve">4 2022 and 1.6% in </w:t>
      </w:r>
      <w:r>
        <w:t>quarter</w:t>
      </w:r>
      <w:r w:rsidRPr="00420162">
        <w:t>4 2023.</w:t>
      </w:r>
    </w:p>
    <w:p w:rsidR="00F23C9A" w:rsidRPr="00420162" w:rsidP="00F23C9A">
      <w:pPr>
        <w:pStyle w:val="ListParagraph"/>
        <w:ind w:left="0"/>
        <w:contextualSpacing w:val="0"/>
        <w:jc w:val="both"/>
      </w:pPr>
    </w:p>
    <w:p w:rsidR="00F23C9A" w:rsidP="00F23C9A">
      <w:pPr>
        <w:pStyle w:val="ListParagraph"/>
        <w:ind w:left="0"/>
        <w:contextualSpacing w:val="0"/>
        <w:jc w:val="both"/>
      </w:pPr>
      <w:r w:rsidRPr="00933921">
        <w:t>Gross Domestic Product</w:t>
      </w:r>
      <w:r w:rsidRPr="00420162">
        <w:t xml:space="preserve"> growth </w:t>
      </w:r>
      <w:r>
        <w:t>has been impacted throughout the world by coronavirus. T</w:t>
      </w:r>
      <w:r w:rsidRPr="00420162">
        <w:t xml:space="preserve">he euro zone rebounded by 12.7% in </w:t>
      </w:r>
      <w:r>
        <w:t>quarter</w:t>
      </w:r>
      <w:r w:rsidRPr="00420162">
        <w:t>3 2020 after contracting by -3.7% and -11.8% in the first and second quarters respectively</w:t>
      </w:r>
      <w:r>
        <w:t>, while t</w:t>
      </w:r>
      <w:r w:rsidRPr="00420162">
        <w:t xml:space="preserve">he US economy contracted at an annualised rate of 31.7% in </w:t>
      </w:r>
      <w:r>
        <w:t>quarter</w:t>
      </w:r>
      <w:r w:rsidRPr="00420162">
        <w:t xml:space="preserve">2 2020 and then rebounded by 33.1% in </w:t>
      </w:r>
      <w:r>
        <w:t>quarter</w:t>
      </w:r>
      <w:r w:rsidRPr="00420162">
        <w:t xml:space="preserve">3. </w:t>
      </w:r>
    </w:p>
    <w:p w:rsidR="00F23C9A" w:rsidRPr="00420162" w:rsidP="00F23C9A">
      <w:pPr>
        <w:pStyle w:val="ListParagraph"/>
        <w:ind w:left="0"/>
        <w:contextualSpacing w:val="0"/>
        <w:jc w:val="both"/>
      </w:pPr>
    </w:p>
    <w:p w:rsidR="00F23C9A" w:rsidP="00F23C9A">
      <w:pPr>
        <w:pStyle w:val="ListParagraph"/>
        <w:ind w:left="0"/>
        <w:contextualSpacing w:val="0"/>
        <w:jc w:val="both"/>
      </w:pPr>
      <w:r w:rsidRPr="00104A23">
        <w:rPr>
          <w:b/>
          <w:bCs/>
        </w:rPr>
        <w:t>Credit outlook</w:t>
      </w:r>
    </w:p>
    <w:p w:rsidR="00F23C9A" w:rsidRPr="00420162" w:rsidP="00F23C9A">
      <w:pPr>
        <w:pStyle w:val="ListParagraph"/>
        <w:ind w:left="0"/>
        <w:contextualSpacing w:val="0"/>
        <w:jc w:val="both"/>
      </w:pPr>
    </w:p>
    <w:p w:rsidR="00F23C9A" w:rsidP="00F23C9A">
      <w:pPr>
        <w:pStyle w:val="ListParagraph"/>
        <w:ind w:left="0"/>
        <w:contextualSpacing w:val="0"/>
        <w:jc w:val="both"/>
      </w:pPr>
      <w:r w:rsidRPr="00420162">
        <w:t xml:space="preserve">The credit ratings for many UK institutions were downgraded </w:t>
      </w:r>
      <w:r>
        <w:t xml:space="preserve">in 2020 </w:t>
      </w:r>
      <w:r w:rsidRPr="00420162">
        <w:t xml:space="preserve">on the back of downgrades to the sovereign rating. </w:t>
      </w:r>
      <w:r>
        <w:t>However, c</w:t>
      </w:r>
      <w:r w:rsidRPr="00420162">
        <w:t xml:space="preserve">redit conditions more </w:t>
      </w:r>
      <w:r w:rsidRPr="00420162" w:rsidR="00BC19F8">
        <w:t>generally in</w:t>
      </w:r>
      <w:r w:rsidRPr="00420162">
        <w:t xml:space="preserve"> banks and building societies have tended to be relatively benign, despite the impact of the pandemic.</w:t>
      </w:r>
    </w:p>
    <w:p w:rsidR="00F23C9A" w:rsidRPr="00420162" w:rsidP="00F23C9A">
      <w:pPr>
        <w:pStyle w:val="ListParagraph"/>
        <w:ind w:left="0"/>
        <w:contextualSpacing w:val="0"/>
        <w:jc w:val="both"/>
      </w:pPr>
    </w:p>
    <w:p w:rsidR="00F23C9A" w:rsidRPr="00420162" w:rsidP="00F23C9A">
      <w:pPr>
        <w:pStyle w:val="ListParagraph"/>
        <w:ind w:left="0"/>
        <w:contextualSpacing w:val="0"/>
        <w:jc w:val="both"/>
      </w:pPr>
      <w:r w:rsidRPr="00420162">
        <w:t>Looking forward, the potential for bank losses to be greater than expected when government and central bank support starts to be removed remains a risk, suggesting a cautious approach to bank deposits in 2021/22 remains advisable.</w:t>
      </w:r>
    </w:p>
    <w:p w:rsidR="00F23C9A" w:rsidRPr="009F6C5A" w:rsidP="00F23C9A">
      <w:pPr>
        <w:spacing w:line="276" w:lineRule="auto"/>
        <w:jc w:val="both"/>
        <w:rPr>
          <w:rFonts w:eastAsia="Calibri"/>
          <w:u w:val="single"/>
          <w:lang w:eastAsia="en-US"/>
        </w:rPr>
      </w:pPr>
      <w:r w:rsidRPr="009F6C5A">
        <w:rPr>
          <w:rFonts w:eastAsia="Calibri"/>
          <w:u w:val="single"/>
          <w:lang w:eastAsia="en-US"/>
        </w:rPr>
        <w:t xml:space="preserve">Interest rate forecast: </w:t>
      </w:r>
    </w:p>
    <w:p w:rsidR="00F23C9A" w:rsidP="00F23C9A">
      <w:pPr>
        <w:pStyle w:val="ListParagraph"/>
        <w:ind w:left="0"/>
        <w:contextualSpacing w:val="0"/>
        <w:jc w:val="both"/>
      </w:pPr>
      <w:r w:rsidRPr="00420162">
        <w:t xml:space="preserve">The </w:t>
      </w:r>
      <w:r>
        <w:t>a</w:t>
      </w:r>
      <w:r w:rsidRPr="00420162">
        <w:t>uthority’s treasury management adviser</w:t>
      </w:r>
      <w:r>
        <w:t>,</w:t>
      </w:r>
      <w:r w:rsidRPr="00420162">
        <w:t xml:space="preserve"> </w:t>
      </w:r>
      <w:r w:rsidRPr="00420162">
        <w:t>Arlingclose</w:t>
      </w:r>
      <w:r>
        <w:t>,</w:t>
      </w:r>
      <w:r w:rsidRPr="00420162">
        <w:t xml:space="preserve"> is forecasting that </w:t>
      </w:r>
      <w:r>
        <w:t xml:space="preserve">the </w:t>
      </w:r>
      <w:r w:rsidRPr="00420162">
        <w:t>B</w:t>
      </w:r>
      <w:r>
        <w:t>ank of</w:t>
      </w:r>
      <w:r w:rsidRPr="00420162">
        <w:t xml:space="preserve"> </w:t>
      </w:r>
      <w:r>
        <w:t>England</w:t>
      </w:r>
      <w:r w:rsidRPr="00420162">
        <w:t xml:space="preserve"> Bank Rate will remain at 0.1% until at least the end of 2023. The risks to </w:t>
      </w:r>
      <w:r w:rsidRPr="00420162">
        <w:t>this forecast are judged to be to the downside as the B</w:t>
      </w:r>
      <w:r>
        <w:t xml:space="preserve">ank </w:t>
      </w:r>
      <w:r w:rsidRPr="00420162">
        <w:t>o</w:t>
      </w:r>
      <w:r>
        <w:t xml:space="preserve">f </w:t>
      </w:r>
      <w:r w:rsidRPr="00420162">
        <w:t>E</w:t>
      </w:r>
      <w:r>
        <w:t>ngland</w:t>
      </w:r>
      <w:r w:rsidRPr="00420162">
        <w:t xml:space="preserve"> and UK government continue to react to the coronavirus pandemic and the</w:t>
      </w:r>
      <w:r>
        <w:t xml:space="preserve"> new trading arrangements with the European Union</w:t>
      </w:r>
      <w:r w:rsidRPr="00420162">
        <w:t>. The B</w:t>
      </w:r>
      <w:r>
        <w:t xml:space="preserve">ank </w:t>
      </w:r>
      <w:r w:rsidRPr="00420162">
        <w:t>o</w:t>
      </w:r>
      <w:r>
        <w:t xml:space="preserve">f </w:t>
      </w:r>
      <w:r w:rsidRPr="00420162">
        <w:t>E</w:t>
      </w:r>
      <w:r>
        <w:t>ngland</w:t>
      </w:r>
      <w:r w:rsidRPr="00420162">
        <w:t xml:space="preserve"> extended its asset purchase programme to £895 billion in November while keeping Bank Rate on hold. However, further interest rate cuts to zero, or possibly negative, cannot yet be ruled out but this is not part of the </w:t>
      </w:r>
      <w:r w:rsidRPr="00420162">
        <w:t>Arlingclose</w:t>
      </w:r>
      <w:r w:rsidRPr="00420162">
        <w:t xml:space="preserve"> central forecast.</w:t>
      </w:r>
    </w:p>
    <w:p w:rsidR="00F23C9A" w:rsidRPr="00420162" w:rsidP="00F23C9A">
      <w:pPr>
        <w:pStyle w:val="ListParagraph"/>
        <w:ind w:left="0"/>
        <w:contextualSpacing w:val="0"/>
        <w:jc w:val="both"/>
      </w:pPr>
    </w:p>
    <w:p w:rsidR="00F23C9A" w:rsidRPr="00420162" w:rsidP="00F23C9A">
      <w:pPr>
        <w:pStyle w:val="ListParagraph"/>
        <w:ind w:left="0"/>
        <w:contextualSpacing w:val="0"/>
        <w:jc w:val="both"/>
      </w:pPr>
      <w:r w:rsidRPr="00420162">
        <w:t xml:space="preserve">Gilt yields are expected to remain very low in the medium-term while short-term yields are likely remain below or at zero until such time as the </w:t>
      </w:r>
      <w:r w:rsidRPr="00933921">
        <w:t>Bank of England</w:t>
      </w:r>
      <w:r w:rsidRPr="00420162">
        <w:t xml:space="preserve"> expressly rules out the chance of negative interest rates or growth/inflation prospects improve. The central case is for 10-year and 20-year </w:t>
      </w:r>
      <w:r>
        <w:t xml:space="preserve">Gilt yields </w:t>
      </w:r>
      <w:r w:rsidRPr="00420162">
        <w:t>to rise to around 0.5% and 0.75% respectively over the time horizon. The risks around the gilt yield forecasts are judged to be broadly balanced between upside and downside risks, but there will almost certainly be short-term volatility due to economic and political uncertainty and events.</w:t>
      </w:r>
    </w:p>
    <w:p w:rsidR="00F23C9A" w:rsidP="00F23C9A">
      <w:pPr>
        <w:jc w:val="both"/>
        <w:rPr>
          <w:b/>
          <w:i/>
        </w:rPr>
      </w:pPr>
    </w:p>
    <w:p w:rsidR="00F23C9A" w:rsidRPr="00BE7266" w:rsidP="00F23C9A">
      <w:pPr>
        <w:jc w:val="both"/>
        <w:rPr>
          <w:b/>
          <w:i/>
        </w:rPr>
      </w:pPr>
      <w:r w:rsidRPr="00BE7266">
        <w:rPr>
          <w:b/>
          <w:i/>
        </w:rPr>
        <w:t>Current portfolio</w:t>
      </w:r>
    </w:p>
    <w:p w:rsidR="00F23C9A" w:rsidRPr="00BE7266" w:rsidP="00F23C9A">
      <w:pPr>
        <w:jc w:val="both"/>
        <w:rPr>
          <w:b/>
          <w:i/>
        </w:rPr>
      </w:pPr>
    </w:p>
    <w:p w:rsidR="00F23C9A" w:rsidRPr="00BE7266" w:rsidP="00F23C9A">
      <w:pPr>
        <w:jc w:val="both"/>
      </w:pPr>
      <w:r w:rsidRPr="00BE7266">
        <w:t xml:space="preserve">The council’s treasury portfolio as at 30 November 2020 was as follows. </w:t>
      </w:r>
    </w:p>
    <w:p w:rsidR="00F23C9A" w:rsidRPr="00707E3B" w:rsidP="00F23C9A">
      <w:pPr>
        <w:jc w:val="both"/>
        <w:rPr>
          <w:highlight w:val="yellow"/>
        </w:rPr>
      </w:pPr>
    </w:p>
    <w:tbl>
      <w:tblPr>
        <w:tblW w:w="9072" w:type="dxa"/>
        <w:tblInd w:w="-5" w:type="dxa"/>
        <w:tblLook w:val="04A0"/>
      </w:tblPr>
      <w:tblGrid>
        <w:gridCol w:w="7655"/>
        <w:gridCol w:w="1417"/>
      </w:tblGrid>
      <w:tr w:rsidTr="00F23C9A">
        <w:tblPrEx>
          <w:tblW w:w="9072" w:type="dxa"/>
          <w:tblInd w:w="-5" w:type="dxa"/>
          <w:tblLook w:val="04A0"/>
        </w:tblPrEx>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C9A" w:rsidRPr="00707E3B" w:rsidP="00F23C9A">
            <w:pPr>
              <w:rPr>
                <w:color w:val="000000"/>
                <w:highlight w:val="yellow"/>
                <w:lang w:eastAsia="en-US"/>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F23C9A" w:rsidRPr="00707E3B" w:rsidP="00F23C9A">
            <w:pPr>
              <w:jc w:val="right"/>
              <w:rPr>
                <w:color w:val="000000"/>
                <w:highlight w:val="yellow"/>
                <w:lang w:eastAsia="en-US"/>
              </w:rPr>
            </w:pPr>
            <w:r w:rsidRPr="00BE7266">
              <w:rPr>
                <w:color w:val="000000"/>
                <w:lang w:eastAsia="en-US"/>
              </w:rPr>
              <w:t>£m</w:t>
            </w:r>
          </w:p>
        </w:tc>
      </w:tr>
      <w:tr w:rsidTr="00F23C9A">
        <w:tblPrEx>
          <w:tblW w:w="9072" w:type="dxa"/>
          <w:tblInd w:w="-5" w:type="dxa"/>
          <w:tblLook w:val="04A0"/>
        </w:tblPrEx>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C9A" w:rsidRPr="00BE7266" w:rsidP="00F23C9A">
            <w:pPr>
              <w:rPr>
                <w:color w:val="000000"/>
              </w:rPr>
            </w:pPr>
            <w:r w:rsidRPr="00BE7266">
              <w:rPr>
                <w:color w:val="000000"/>
                <w:lang w:eastAsia="en-US"/>
              </w:rPr>
              <w:t>Call accounts</w:t>
            </w:r>
          </w:p>
        </w:tc>
        <w:tc>
          <w:tcPr>
            <w:tcW w:w="1417" w:type="dxa"/>
            <w:tcBorders>
              <w:top w:val="single" w:sz="4" w:space="0" w:color="auto"/>
              <w:left w:val="nil"/>
              <w:bottom w:val="single" w:sz="4" w:space="0" w:color="auto"/>
              <w:right w:val="single" w:sz="4" w:space="0" w:color="auto"/>
            </w:tcBorders>
            <w:shd w:val="clear" w:color="auto" w:fill="auto"/>
            <w:noWrap/>
          </w:tcPr>
          <w:p w:rsidR="00F23C9A" w:rsidRPr="00826991" w:rsidP="00F23C9A">
            <w:pPr>
              <w:jc w:val="right"/>
            </w:pPr>
            <w:r w:rsidRPr="00826991">
              <w:t>19</w:t>
            </w:r>
          </w:p>
        </w:tc>
      </w:tr>
      <w:tr w:rsidTr="00F23C9A">
        <w:tblPrEx>
          <w:tblW w:w="9072" w:type="dxa"/>
          <w:tblInd w:w="-5" w:type="dxa"/>
          <w:tblLook w:val="04A0"/>
        </w:tblPrEx>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F23C9A" w:rsidRPr="00BE7266" w:rsidP="00F23C9A">
            <w:pPr>
              <w:rPr>
                <w:color w:val="000000"/>
              </w:rPr>
            </w:pPr>
            <w:r w:rsidRPr="00BE7266">
              <w:rPr>
                <w:color w:val="000000"/>
                <w:lang w:eastAsia="en-US"/>
              </w:rPr>
              <w:t>Local authority deposits</w:t>
            </w:r>
          </w:p>
        </w:tc>
        <w:tc>
          <w:tcPr>
            <w:tcW w:w="1417" w:type="dxa"/>
            <w:tcBorders>
              <w:top w:val="nil"/>
              <w:left w:val="nil"/>
              <w:bottom w:val="single" w:sz="4" w:space="0" w:color="auto"/>
              <w:right w:val="single" w:sz="4" w:space="0" w:color="auto"/>
            </w:tcBorders>
            <w:shd w:val="clear" w:color="auto" w:fill="auto"/>
            <w:noWrap/>
          </w:tcPr>
          <w:p w:rsidR="00F23C9A" w:rsidRPr="00826991" w:rsidP="00F23C9A">
            <w:pPr>
              <w:jc w:val="right"/>
            </w:pPr>
            <w:r w:rsidRPr="00826991">
              <w:t>89</w:t>
            </w:r>
          </w:p>
        </w:tc>
      </w:tr>
      <w:tr w:rsidTr="00F23C9A">
        <w:tblPrEx>
          <w:tblW w:w="9072" w:type="dxa"/>
          <w:tblInd w:w="-5" w:type="dxa"/>
          <w:tblLook w:val="04A0"/>
        </w:tblPrEx>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F23C9A" w:rsidRPr="00BE7266" w:rsidP="00F23C9A">
            <w:pPr>
              <w:rPr>
                <w:color w:val="000000"/>
              </w:rPr>
            </w:pPr>
            <w:r w:rsidRPr="00BE7266">
              <w:rPr>
                <w:color w:val="000000"/>
                <w:lang w:eastAsia="en-US"/>
              </w:rPr>
              <w:t xml:space="preserve">Government, local government and supra-national bonds </w:t>
            </w:r>
          </w:p>
        </w:tc>
        <w:tc>
          <w:tcPr>
            <w:tcW w:w="1417" w:type="dxa"/>
            <w:tcBorders>
              <w:top w:val="nil"/>
              <w:left w:val="nil"/>
              <w:bottom w:val="single" w:sz="4" w:space="0" w:color="auto"/>
              <w:right w:val="single" w:sz="4" w:space="0" w:color="auto"/>
            </w:tcBorders>
            <w:shd w:val="clear" w:color="auto" w:fill="auto"/>
            <w:noWrap/>
          </w:tcPr>
          <w:p w:rsidR="00F23C9A" w:rsidRPr="00826991" w:rsidP="00F23C9A">
            <w:pPr>
              <w:jc w:val="right"/>
            </w:pPr>
            <w:r w:rsidRPr="00826991">
              <w:t>451</w:t>
            </w:r>
          </w:p>
        </w:tc>
      </w:tr>
      <w:tr w:rsidTr="00F23C9A">
        <w:tblPrEx>
          <w:tblW w:w="9072" w:type="dxa"/>
          <w:tblInd w:w="-5" w:type="dxa"/>
          <w:tblLook w:val="04A0"/>
        </w:tblPrEx>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tcPr>
          <w:p w:rsidR="00F23C9A" w:rsidRPr="00BE7266" w:rsidP="00F23C9A">
            <w:pPr>
              <w:rPr>
                <w:color w:val="000000"/>
                <w:lang w:eastAsia="en-US"/>
              </w:rPr>
            </w:pPr>
            <w:r w:rsidRPr="00BE7266">
              <w:rPr>
                <w:color w:val="000000"/>
                <w:lang w:eastAsia="en-US"/>
              </w:rPr>
              <w:t>Corporate bonds</w:t>
            </w:r>
          </w:p>
        </w:tc>
        <w:tc>
          <w:tcPr>
            <w:tcW w:w="1417" w:type="dxa"/>
            <w:tcBorders>
              <w:top w:val="nil"/>
              <w:left w:val="nil"/>
              <w:bottom w:val="single" w:sz="4" w:space="0" w:color="auto"/>
              <w:right w:val="single" w:sz="4" w:space="0" w:color="auto"/>
            </w:tcBorders>
            <w:shd w:val="clear" w:color="auto" w:fill="auto"/>
            <w:noWrap/>
          </w:tcPr>
          <w:p w:rsidR="00F23C9A" w:rsidRPr="00826991" w:rsidP="00F23C9A">
            <w:pPr>
              <w:jc w:val="right"/>
            </w:pPr>
            <w:r w:rsidRPr="00826991">
              <w:t>245</w:t>
            </w:r>
          </w:p>
        </w:tc>
      </w:tr>
      <w:tr w:rsidTr="00F23C9A">
        <w:tblPrEx>
          <w:tblW w:w="9072" w:type="dxa"/>
          <w:tblInd w:w="-5" w:type="dxa"/>
          <w:tblLook w:val="04A0"/>
        </w:tblPrEx>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F23C9A" w:rsidRPr="00BE7266" w:rsidP="00F23C9A">
            <w:pPr>
              <w:rPr>
                <w:color w:val="000000"/>
              </w:rPr>
            </w:pPr>
            <w:r w:rsidRPr="00BE7266">
              <w:rPr>
                <w:color w:val="000000"/>
                <w:lang w:eastAsia="en-US"/>
              </w:rPr>
              <w:t>Total Investments</w:t>
            </w:r>
          </w:p>
        </w:tc>
        <w:tc>
          <w:tcPr>
            <w:tcW w:w="1417" w:type="dxa"/>
            <w:tcBorders>
              <w:top w:val="single" w:sz="4" w:space="0" w:color="auto"/>
              <w:left w:val="nil"/>
              <w:bottom w:val="single" w:sz="4" w:space="0" w:color="auto"/>
              <w:right w:val="single" w:sz="4" w:space="0" w:color="auto"/>
            </w:tcBorders>
            <w:shd w:val="clear" w:color="auto" w:fill="DBE5F1" w:themeFill="accent1" w:themeFillTint="33"/>
            <w:noWrap/>
          </w:tcPr>
          <w:p w:rsidR="00F23C9A" w:rsidRPr="00826991" w:rsidP="00F23C9A">
            <w:pPr>
              <w:jc w:val="right"/>
            </w:pPr>
            <w:r w:rsidRPr="00826991">
              <w:t>804</w:t>
            </w:r>
          </w:p>
        </w:tc>
      </w:tr>
      <w:tr w:rsidTr="00F23C9A">
        <w:tblPrEx>
          <w:tblW w:w="9072" w:type="dxa"/>
          <w:tblInd w:w="-5" w:type="dxa"/>
          <w:tblLook w:val="04A0"/>
        </w:tblPrEx>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C9A" w:rsidRPr="00BE7266" w:rsidP="00F23C9A">
            <w:pPr>
              <w:rPr>
                <w:color w:val="000000"/>
              </w:rPr>
            </w:pPr>
            <w:r w:rsidRPr="00BE7266">
              <w:rPr>
                <w:color w:val="000000"/>
                <w:lang w:eastAsia="en-US"/>
              </w:rPr>
              <w:t>Short term loans</w:t>
            </w:r>
          </w:p>
        </w:tc>
        <w:tc>
          <w:tcPr>
            <w:tcW w:w="1417" w:type="dxa"/>
            <w:tcBorders>
              <w:top w:val="single" w:sz="4" w:space="0" w:color="auto"/>
              <w:left w:val="nil"/>
              <w:bottom w:val="single" w:sz="4" w:space="0" w:color="auto"/>
              <w:right w:val="single" w:sz="4" w:space="0" w:color="auto"/>
            </w:tcBorders>
            <w:shd w:val="clear" w:color="auto" w:fill="auto"/>
            <w:noWrap/>
          </w:tcPr>
          <w:p w:rsidR="00F23C9A" w:rsidRPr="00826991" w:rsidP="00F23C9A">
            <w:pPr>
              <w:jc w:val="right"/>
            </w:pPr>
            <w:r w:rsidRPr="00826991">
              <w:t>305</w:t>
            </w:r>
          </w:p>
        </w:tc>
      </w:tr>
      <w:tr w:rsidTr="00F23C9A">
        <w:tblPrEx>
          <w:tblW w:w="9072" w:type="dxa"/>
          <w:tblInd w:w="-5" w:type="dxa"/>
          <w:tblLook w:val="04A0"/>
        </w:tblPrEx>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F23C9A" w:rsidRPr="00BE7266" w:rsidP="00F23C9A">
            <w:pPr>
              <w:rPr>
                <w:color w:val="000000"/>
              </w:rPr>
            </w:pPr>
            <w:r w:rsidRPr="00BE7266">
              <w:rPr>
                <w:color w:val="000000"/>
                <w:lang w:eastAsia="en-US"/>
              </w:rPr>
              <w:t>Shared investment scheme</w:t>
            </w:r>
          </w:p>
        </w:tc>
        <w:tc>
          <w:tcPr>
            <w:tcW w:w="1417" w:type="dxa"/>
            <w:tcBorders>
              <w:top w:val="nil"/>
              <w:left w:val="nil"/>
              <w:bottom w:val="single" w:sz="4" w:space="0" w:color="auto"/>
              <w:right w:val="single" w:sz="4" w:space="0" w:color="auto"/>
            </w:tcBorders>
            <w:shd w:val="clear" w:color="auto" w:fill="auto"/>
            <w:noWrap/>
          </w:tcPr>
          <w:p w:rsidR="00F23C9A" w:rsidRPr="00826991" w:rsidP="00F23C9A">
            <w:pPr>
              <w:jc w:val="right"/>
            </w:pPr>
            <w:r w:rsidRPr="00826991">
              <w:t>70</w:t>
            </w:r>
          </w:p>
        </w:tc>
      </w:tr>
      <w:tr w:rsidTr="00F23C9A">
        <w:tblPrEx>
          <w:tblW w:w="9072" w:type="dxa"/>
          <w:tblInd w:w="-5" w:type="dxa"/>
          <w:tblLook w:val="04A0"/>
        </w:tblPrEx>
        <w:trPr>
          <w:trHeight w:val="300"/>
        </w:trPr>
        <w:tc>
          <w:tcPr>
            <w:tcW w:w="7655" w:type="dxa"/>
            <w:tcBorders>
              <w:top w:val="nil"/>
              <w:left w:val="single" w:sz="8" w:space="0" w:color="auto"/>
              <w:bottom w:val="single" w:sz="8" w:space="0" w:color="auto"/>
              <w:right w:val="single" w:sz="8" w:space="0" w:color="auto"/>
            </w:tcBorders>
            <w:shd w:val="clear" w:color="auto" w:fill="auto"/>
            <w:noWrap/>
            <w:vAlign w:val="center"/>
            <w:hideMark/>
          </w:tcPr>
          <w:p w:rsidR="00F23C9A" w:rsidRPr="00BE7266" w:rsidP="00F23C9A">
            <w:pPr>
              <w:rPr>
                <w:color w:val="000000"/>
              </w:rPr>
            </w:pPr>
            <w:r w:rsidRPr="00BE7266">
              <w:rPr>
                <w:color w:val="000000"/>
                <w:lang w:eastAsia="en-US"/>
              </w:rPr>
              <w:t>Long term loans - local authorities</w:t>
            </w:r>
          </w:p>
        </w:tc>
        <w:tc>
          <w:tcPr>
            <w:tcW w:w="1417" w:type="dxa"/>
            <w:tcBorders>
              <w:top w:val="nil"/>
              <w:left w:val="nil"/>
              <w:bottom w:val="single" w:sz="4" w:space="0" w:color="auto"/>
              <w:right w:val="single" w:sz="4" w:space="0" w:color="auto"/>
            </w:tcBorders>
            <w:shd w:val="clear" w:color="auto" w:fill="auto"/>
            <w:noWrap/>
          </w:tcPr>
          <w:p w:rsidR="00F23C9A" w:rsidRPr="00826991" w:rsidP="00F23C9A">
            <w:pPr>
              <w:jc w:val="right"/>
            </w:pPr>
            <w:r w:rsidRPr="00826991">
              <w:t>20</w:t>
            </w:r>
          </w:p>
        </w:tc>
      </w:tr>
      <w:tr w:rsidTr="00F23C9A">
        <w:tblPrEx>
          <w:tblW w:w="9072" w:type="dxa"/>
          <w:tblInd w:w="-5" w:type="dxa"/>
          <w:tblLook w:val="04A0"/>
        </w:tblPrEx>
        <w:trPr>
          <w:trHeight w:val="300"/>
        </w:trPr>
        <w:tc>
          <w:tcPr>
            <w:tcW w:w="7655" w:type="dxa"/>
            <w:tcBorders>
              <w:top w:val="nil"/>
              <w:left w:val="single" w:sz="8" w:space="0" w:color="auto"/>
              <w:bottom w:val="single" w:sz="8" w:space="0" w:color="auto"/>
              <w:right w:val="single" w:sz="8" w:space="0" w:color="auto"/>
            </w:tcBorders>
            <w:shd w:val="clear" w:color="auto" w:fill="auto"/>
            <w:noWrap/>
            <w:vAlign w:val="center"/>
          </w:tcPr>
          <w:p w:rsidR="00F23C9A" w:rsidRPr="00BE7266" w:rsidP="00F23C9A">
            <w:pPr>
              <w:rPr>
                <w:color w:val="000000"/>
              </w:rPr>
            </w:pPr>
            <w:r w:rsidRPr="00BE7266">
              <w:rPr>
                <w:color w:val="000000"/>
              </w:rPr>
              <w:t xml:space="preserve">Long Term Bonds </w:t>
            </w:r>
          </w:p>
        </w:tc>
        <w:tc>
          <w:tcPr>
            <w:tcW w:w="1417" w:type="dxa"/>
            <w:tcBorders>
              <w:top w:val="nil"/>
              <w:left w:val="nil"/>
              <w:bottom w:val="single" w:sz="4" w:space="0" w:color="auto"/>
              <w:right w:val="single" w:sz="4" w:space="0" w:color="auto"/>
            </w:tcBorders>
            <w:shd w:val="clear" w:color="auto" w:fill="auto"/>
            <w:noWrap/>
          </w:tcPr>
          <w:p w:rsidR="00F23C9A" w:rsidRPr="00826991" w:rsidP="00F23C9A">
            <w:pPr>
              <w:jc w:val="right"/>
            </w:pPr>
            <w:r w:rsidRPr="00826991">
              <w:t>600</w:t>
            </w:r>
          </w:p>
        </w:tc>
      </w:tr>
      <w:tr w:rsidTr="00F23C9A">
        <w:tblPrEx>
          <w:tblW w:w="9072" w:type="dxa"/>
          <w:tblInd w:w="-5" w:type="dxa"/>
          <w:tblLook w:val="04A0"/>
        </w:tblPrEx>
        <w:trPr>
          <w:trHeight w:val="300"/>
        </w:trPr>
        <w:tc>
          <w:tcPr>
            <w:tcW w:w="7655" w:type="dxa"/>
            <w:tcBorders>
              <w:top w:val="nil"/>
              <w:left w:val="single" w:sz="8" w:space="0" w:color="auto"/>
              <w:bottom w:val="single" w:sz="8" w:space="0" w:color="auto"/>
              <w:right w:val="single" w:sz="8" w:space="0" w:color="auto"/>
            </w:tcBorders>
            <w:shd w:val="clear" w:color="auto" w:fill="auto"/>
            <w:noWrap/>
            <w:vAlign w:val="center"/>
          </w:tcPr>
          <w:p w:rsidR="00F23C9A" w:rsidRPr="00BE7266" w:rsidP="00F23C9A">
            <w:pPr>
              <w:rPr>
                <w:color w:val="000000"/>
              </w:rPr>
            </w:pPr>
            <w:r w:rsidRPr="00BE7266">
              <w:rPr>
                <w:color w:val="000000"/>
                <w:lang w:eastAsia="en-US"/>
              </w:rPr>
              <w:t xml:space="preserve">Long term loans - </w:t>
            </w:r>
            <w:r w:rsidRPr="00EE5B77">
              <w:rPr>
                <w:color w:val="000000"/>
                <w:lang w:eastAsia="en-US"/>
              </w:rPr>
              <w:t>Public Works Loan Board</w:t>
            </w:r>
            <w:r w:rsidRPr="00BE7266">
              <w:rPr>
                <w:color w:val="000000"/>
                <w:lang w:eastAsia="en-US"/>
              </w:rPr>
              <w:t xml:space="preserve"> </w:t>
            </w:r>
          </w:p>
        </w:tc>
        <w:tc>
          <w:tcPr>
            <w:tcW w:w="1417" w:type="dxa"/>
            <w:tcBorders>
              <w:top w:val="nil"/>
              <w:left w:val="nil"/>
              <w:bottom w:val="single" w:sz="4" w:space="0" w:color="auto"/>
              <w:right w:val="single" w:sz="4" w:space="0" w:color="auto"/>
            </w:tcBorders>
            <w:shd w:val="clear" w:color="auto" w:fill="auto"/>
            <w:noWrap/>
          </w:tcPr>
          <w:p w:rsidR="00F23C9A" w:rsidRPr="00826991" w:rsidP="00F23C9A">
            <w:pPr>
              <w:jc w:val="right"/>
            </w:pPr>
            <w:r w:rsidRPr="00826991">
              <w:t>448</w:t>
            </w:r>
          </w:p>
        </w:tc>
      </w:tr>
      <w:tr w:rsidTr="00F23C9A">
        <w:tblPrEx>
          <w:tblW w:w="9072" w:type="dxa"/>
          <w:tblInd w:w="-5" w:type="dxa"/>
          <w:tblLook w:val="04A0"/>
        </w:tblPrEx>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F23C9A" w:rsidRPr="00BE7266" w:rsidP="00F23C9A">
            <w:pPr>
              <w:rPr>
                <w:color w:val="000000"/>
              </w:rPr>
            </w:pPr>
            <w:r w:rsidRPr="00BE7266">
              <w:rPr>
                <w:color w:val="000000"/>
                <w:lang w:eastAsia="en-US"/>
              </w:rPr>
              <w:t>Total Borrowing</w:t>
            </w:r>
          </w:p>
        </w:tc>
        <w:tc>
          <w:tcPr>
            <w:tcW w:w="1417" w:type="dxa"/>
            <w:tcBorders>
              <w:top w:val="single" w:sz="4" w:space="0" w:color="auto"/>
              <w:left w:val="nil"/>
              <w:bottom w:val="single" w:sz="4" w:space="0" w:color="auto"/>
              <w:right w:val="single" w:sz="4" w:space="0" w:color="auto"/>
            </w:tcBorders>
            <w:shd w:val="clear" w:color="auto" w:fill="DBE5F1" w:themeFill="accent1" w:themeFillTint="33"/>
            <w:noWrap/>
          </w:tcPr>
          <w:p w:rsidR="00F23C9A" w:rsidRPr="00826991" w:rsidP="00F23C9A">
            <w:pPr>
              <w:jc w:val="right"/>
            </w:pPr>
            <w:r w:rsidRPr="00826991">
              <w:t>1</w:t>
            </w:r>
            <w:r>
              <w:t>,</w:t>
            </w:r>
            <w:r w:rsidRPr="00826991">
              <w:t>443</w:t>
            </w:r>
          </w:p>
        </w:tc>
      </w:tr>
      <w:tr w:rsidTr="00F23C9A">
        <w:tblPrEx>
          <w:tblW w:w="9072" w:type="dxa"/>
          <w:tblInd w:w="-5" w:type="dxa"/>
          <w:tblLook w:val="04A0"/>
        </w:tblPrEx>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F23C9A" w:rsidRPr="00BE7266" w:rsidP="00F23C9A">
            <w:pPr>
              <w:rPr>
                <w:color w:val="000000"/>
              </w:rPr>
            </w:pPr>
            <w:r w:rsidRPr="00BE7266">
              <w:rPr>
                <w:color w:val="000000"/>
                <w:lang w:eastAsia="en-US"/>
              </w:rPr>
              <w:t xml:space="preserve">Net Borrowing </w:t>
            </w:r>
          </w:p>
        </w:tc>
        <w:tc>
          <w:tcPr>
            <w:tcW w:w="1417" w:type="dxa"/>
            <w:tcBorders>
              <w:top w:val="single" w:sz="4" w:space="0" w:color="auto"/>
              <w:left w:val="nil"/>
              <w:bottom w:val="single" w:sz="4" w:space="0" w:color="auto"/>
              <w:right w:val="single" w:sz="4" w:space="0" w:color="auto"/>
            </w:tcBorders>
            <w:shd w:val="clear" w:color="auto" w:fill="DBE5F1" w:themeFill="accent1" w:themeFillTint="33"/>
            <w:noWrap/>
          </w:tcPr>
          <w:p w:rsidR="00F23C9A" w:rsidP="00F23C9A">
            <w:pPr>
              <w:jc w:val="right"/>
            </w:pPr>
            <w:r w:rsidRPr="00826991">
              <w:t>639</w:t>
            </w:r>
          </w:p>
        </w:tc>
      </w:tr>
    </w:tbl>
    <w:p w:rsidR="00F23C9A" w:rsidRPr="00BE7266" w:rsidP="00F23C9A">
      <w:pPr>
        <w:jc w:val="both"/>
        <w:rPr>
          <w:bCs/>
        </w:rPr>
      </w:pPr>
    </w:p>
    <w:p w:rsidR="00F23C9A" w:rsidRPr="00BE7266" w:rsidP="00F23C9A">
      <w:pPr>
        <w:jc w:val="both"/>
        <w:rPr>
          <w:bCs/>
        </w:rPr>
      </w:pPr>
      <w:r w:rsidRPr="00BE7266">
        <w:rPr>
          <w:bCs/>
        </w:rPr>
        <w:t>In addition the authority held some £225m of non-treasury investments</w:t>
      </w:r>
      <w:r>
        <w:rPr>
          <w:bCs/>
        </w:rPr>
        <w:t>, further details are contained in the Non-Treasury Strategy</w:t>
      </w:r>
      <w:r w:rsidRPr="00BE7266">
        <w:rPr>
          <w:bCs/>
        </w:rPr>
        <w:t>.</w:t>
      </w:r>
    </w:p>
    <w:p w:rsidR="00F23C9A" w:rsidP="00F23C9A">
      <w:pPr>
        <w:jc w:val="both"/>
        <w:rPr>
          <w:b/>
          <w:bCs/>
          <w:highlight w:val="yellow"/>
        </w:rPr>
      </w:pPr>
    </w:p>
    <w:p w:rsidR="00F23C9A" w:rsidRPr="005B3783" w:rsidP="00F23C9A">
      <w:pPr>
        <w:jc w:val="both"/>
        <w:rPr>
          <w:b/>
          <w:bCs/>
        </w:rPr>
      </w:pPr>
      <w:r w:rsidRPr="005B3783">
        <w:rPr>
          <w:b/>
          <w:bCs/>
        </w:rPr>
        <w:t>Estimates of future borrowing and investment requirements</w:t>
      </w:r>
    </w:p>
    <w:p w:rsidR="00F23C9A" w:rsidRPr="005B3783" w:rsidP="00F23C9A">
      <w:pPr>
        <w:jc w:val="both"/>
        <w:rPr>
          <w:bCs/>
        </w:rPr>
      </w:pPr>
    </w:p>
    <w:p w:rsidR="00F23C9A" w:rsidRPr="005B3783" w:rsidP="00F23C9A">
      <w:pPr>
        <w:jc w:val="both"/>
        <w:rPr>
          <w:bCs/>
        </w:rPr>
      </w:pPr>
      <w:r w:rsidRPr="005B3783">
        <w:rPr>
          <w:bCs/>
        </w:rPr>
        <w:t>In the medium term</w:t>
      </w:r>
      <w:r>
        <w:rPr>
          <w:bCs/>
        </w:rPr>
        <w:t>, the</w:t>
      </w:r>
      <w:r w:rsidRPr="005B3783">
        <w:rPr>
          <w:bCs/>
        </w:rPr>
        <w:t xml:space="preserve"> </w:t>
      </w:r>
      <w:r w:rsidRPr="00EE5B77">
        <w:rPr>
          <w:bCs/>
        </w:rPr>
        <w:t xml:space="preserve">Chartered Institute of Public Finance and Accountancy’s </w:t>
      </w:r>
      <w:r>
        <w:rPr>
          <w:bCs/>
        </w:rPr>
        <w:t>P</w:t>
      </w:r>
      <w:r w:rsidRPr="005B3783">
        <w:rPr>
          <w:bCs/>
        </w:rPr>
        <w:t xml:space="preserve">rudential </w:t>
      </w:r>
      <w:r>
        <w:rPr>
          <w:bCs/>
        </w:rPr>
        <w:t>C</w:t>
      </w:r>
      <w:r w:rsidRPr="005B3783">
        <w:rPr>
          <w:bCs/>
        </w:rPr>
        <w:t xml:space="preserve">ode requires that the council's borrowing adjusted for transferred debt is for capital purposes only. The underlying need to borrow for capital purposes is measured by the capital financing requirement, while usable reserves and working capital are the underlying resources available for investment. The following table compares the estimated capital financing requirement to the borrowing at 30 November 2020. This gives an indication of the borrowing required and the resources available for investment. </w:t>
      </w:r>
    </w:p>
    <w:p w:rsidR="00F23C9A" w:rsidRPr="005B3783" w:rsidP="00F23C9A">
      <w:pPr>
        <w:jc w:val="both"/>
        <w:rPr>
          <w:bCs/>
        </w:rPr>
      </w:pPr>
    </w:p>
    <w:p w:rsidR="00F23C9A" w:rsidRPr="005B3783" w:rsidP="00F23C9A">
      <w:pPr>
        <w:jc w:val="both"/>
        <w:rPr>
          <w:bCs/>
        </w:rPr>
      </w:pPr>
      <w:r w:rsidRPr="005B3783">
        <w:rPr>
          <w:bCs/>
        </w:rPr>
        <w:t>The capital financing requirement forecast assumes a capital programme which includes borrowing of £50m a year in each of years 202</w:t>
      </w:r>
      <w:r>
        <w:rPr>
          <w:bCs/>
        </w:rPr>
        <w:t>0</w:t>
      </w:r>
      <w:r w:rsidRPr="005B3783">
        <w:rPr>
          <w:bCs/>
        </w:rPr>
        <w:t>/2</w:t>
      </w:r>
      <w:r>
        <w:rPr>
          <w:bCs/>
        </w:rPr>
        <w:t>1</w:t>
      </w:r>
      <w:r w:rsidRPr="005B3783">
        <w:rPr>
          <w:bCs/>
        </w:rPr>
        <w:t xml:space="preserve"> to 2023/24</w:t>
      </w:r>
      <w:r>
        <w:rPr>
          <w:bCs/>
        </w:rPr>
        <w:t xml:space="preserve"> however</w:t>
      </w:r>
      <w:r w:rsidRPr="005B3783">
        <w:rPr>
          <w:bCs/>
        </w:rPr>
        <w:t>,</w:t>
      </w:r>
      <w:r>
        <w:rPr>
          <w:bCs/>
        </w:rPr>
        <w:t xml:space="preserve"> </w:t>
      </w:r>
      <w:r w:rsidRPr="005B3783">
        <w:rPr>
          <w:bCs/>
        </w:rPr>
        <w:t>this will be subject to change as the capital programme develops.</w:t>
      </w:r>
    </w:p>
    <w:p w:rsidR="00F23C9A" w:rsidRPr="00707E3B" w:rsidP="00F23C9A">
      <w:pPr>
        <w:jc w:val="both"/>
        <w:rPr>
          <w:bCs/>
          <w:highlight w:val="yellow"/>
        </w:rPr>
      </w:pPr>
    </w:p>
    <w:tbl>
      <w:tblPr>
        <w:tblStyle w:val="TableGrid"/>
        <w:tblW w:w="9066" w:type="dxa"/>
        <w:tblLayout w:type="fixed"/>
        <w:tblLook w:val="04A0"/>
      </w:tblPr>
      <w:tblGrid>
        <w:gridCol w:w="3397"/>
        <w:gridCol w:w="1417"/>
        <w:gridCol w:w="1418"/>
        <w:gridCol w:w="1417"/>
        <w:gridCol w:w="1417"/>
      </w:tblGrid>
      <w:tr w:rsidTr="00F23C9A">
        <w:tblPrEx>
          <w:tblW w:w="9066" w:type="dxa"/>
          <w:tblLayout w:type="fixed"/>
          <w:tblLook w:val="04A0"/>
        </w:tblPrEx>
        <w:tc>
          <w:tcPr>
            <w:tcW w:w="3397" w:type="dxa"/>
          </w:tcPr>
          <w:p w:rsidR="00F23C9A" w:rsidRPr="0023417A" w:rsidP="00F23C9A">
            <w:pPr>
              <w:jc w:val="both"/>
              <w:rPr>
                <w:bCs/>
              </w:rPr>
            </w:pPr>
          </w:p>
        </w:tc>
        <w:tc>
          <w:tcPr>
            <w:tcW w:w="1417" w:type="dxa"/>
          </w:tcPr>
          <w:p w:rsidR="00F23C9A" w:rsidRPr="0023417A" w:rsidP="00F23C9A">
            <w:pPr>
              <w:jc w:val="center"/>
              <w:rPr>
                <w:bCs/>
              </w:rPr>
            </w:pPr>
            <w:r w:rsidRPr="0023417A">
              <w:rPr>
                <w:bCs/>
              </w:rPr>
              <w:t>31/3/2021</w:t>
            </w:r>
          </w:p>
        </w:tc>
        <w:tc>
          <w:tcPr>
            <w:tcW w:w="1418" w:type="dxa"/>
          </w:tcPr>
          <w:p w:rsidR="00F23C9A" w:rsidRPr="0023417A" w:rsidP="00F23C9A">
            <w:pPr>
              <w:jc w:val="center"/>
              <w:rPr>
                <w:bCs/>
              </w:rPr>
            </w:pPr>
            <w:r w:rsidRPr="0023417A">
              <w:rPr>
                <w:bCs/>
              </w:rPr>
              <w:t>31/3/2022</w:t>
            </w:r>
          </w:p>
        </w:tc>
        <w:tc>
          <w:tcPr>
            <w:tcW w:w="1417" w:type="dxa"/>
          </w:tcPr>
          <w:p w:rsidR="00F23C9A" w:rsidRPr="0023417A" w:rsidP="00F23C9A">
            <w:pPr>
              <w:ind w:left="-250" w:firstLine="250"/>
              <w:jc w:val="center"/>
              <w:rPr>
                <w:bCs/>
              </w:rPr>
            </w:pPr>
            <w:r w:rsidRPr="0023417A">
              <w:rPr>
                <w:bCs/>
              </w:rPr>
              <w:t>31/3/2023</w:t>
            </w:r>
          </w:p>
        </w:tc>
        <w:tc>
          <w:tcPr>
            <w:tcW w:w="1417" w:type="dxa"/>
          </w:tcPr>
          <w:p w:rsidR="00F23C9A" w:rsidRPr="0023417A" w:rsidP="00F23C9A">
            <w:pPr>
              <w:ind w:left="-250" w:firstLine="250"/>
              <w:jc w:val="center"/>
              <w:rPr>
                <w:bCs/>
              </w:rPr>
            </w:pPr>
            <w:r w:rsidRPr="0023417A">
              <w:rPr>
                <w:bCs/>
              </w:rPr>
              <w:t>31/3/2024</w:t>
            </w:r>
          </w:p>
        </w:tc>
      </w:tr>
      <w:tr w:rsidTr="00F23C9A">
        <w:tblPrEx>
          <w:tblW w:w="9066" w:type="dxa"/>
          <w:tblLayout w:type="fixed"/>
          <w:tblLook w:val="04A0"/>
        </w:tblPrEx>
        <w:tc>
          <w:tcPr>
            <w:tcW w:w="3397" w:type="dxa"/>
          </w:tcPr>
          <w:p w:rsidR="00F23C9A" w:rsidRPr="0023417A" w:rsidP="00F23C9A">
            <w:pPr>
              <w:jc w:val="both"/>
              <w:rPr>
                <w:bCs/>
              </w:rPr>
            </w:pPr>
          </w:p>
        </w:tc>
        <w:tc>
          <w:tcPr>
            <w:tcW w:w="1417" w:type="dxa"/>
          </w:tcPr>
          <w:p w:rsidR="00F23C9A" w:rsidRPr="0023417A" w:rsidP="00F23C9A">
            <w:pPr>
              <w:jc w:val="center"/>
              <w:rPr>
                <w:bCs/>
              </w:rPr>
            </w:pPr>
            <w:r w:rsidRPr="0023417A">
              <w:rPr>
                <w:bCs/>
              </w:rPr>
              <w:t>Estimate</w:t>
            </w:r>
          </w:p>
        </w:tc>
        <w:tc>
          <w:tcPr>
            <w:tcW w:w="1418" w:type="dxa"/>
          </w:tcPr>
          <w:p w:rsidR="00F23C9A" w:rsidRPr="0023417A" w:rsidP="00F23C9A">
            <w:pPr>
              <w:jc w:val="center"/>
              <w:rPr>
                <w:bCs/>
              </w:rPr>
            </w:pPr>
            <w:r w:rsidRPr="0023417A">
              <w:rPr>
                <w:bCs/>
              </w:rPr>
              <w:t>Estimate</w:t>
            </w:r>
          </w:p>
        </w:tc>
        <w:tc>
          <w:tcPr>
            <w:tcW w:w="1417" w:type="dxa"/>
          </w:tcPr>
          <w:p w:rsidR="00F23C9A" w:rsidRPr="0023417A" w:rsidP="00F23C9A">
            <w:pPr>
              <w:jc w:val="center"/>
              <w:rPr>
                <w:bCs/>
              </w:rPr>
            </w:pPr>
            <w:r w:rsidRPr="0023417A">
              <w:rPr>
                <w:bCs/>
              </w:rPr>
              <w:t>Estimate</w:t>
            </w:r>
          </w:p>
        </w:tc>
        <w:tc>
          <w:tcPr>
            <w:tcW w:w="1417" w:type="dxa"/>
          </w:tcPr>
          <w:p w:rsidR="00F23C9A" w:rsidRPr="0023417A" w:rsidP="00F23C9A">
            <w:pPr>
              <w:jc w:val="center"/>
              <w:rPr>
                <w:bCs/>
              </w:rPr>
            </w:pPr>
            <w:r w:rsidRPr="0023417A">
              <w:rPr>
                <w:bCs/>
              </w:rPr>
              <w:t xml:space="preserve">Estimate </w:t>
            </w:r>
          </w:p>
        </w:tc>
      </w:tr>
      <w:tr w:rsidTr="00F23C9A">
        <w:tblPrEx>
          <w:tblW w:w="9066" w:type="dxa"/>
          <w:tblLayout w:type="fixed"/>
          <w:tblLook w:val="04A0"/>
        </w:tblPrEx>
        <w:tc>
          <w:tcPr>
            <w:tcW w:w="3397" w:type="dxa"/>
          </w:tcPr>
          <w:p w:rsidR="00F23C9A" w:rsidRPr="0023417A" w:rsidP="00F23C9A">
            <w:pPr>
              <w:jc w:val="both"/>
              <w:rPr>
                <w:bCs/>
              </w:rPr>
            </w:pPr>
          </w:p>
        </w:tc>
        <w:tc>
          <w:tcPr>
            <w:tcW w:w="1417" w:type="dxa"/>
          </w:tcPr>
          <w:p w:rsidR="00F23C9A" w:rsidRPr="0023417A" w:rsidP="00F23C9A">
            <w:pPr>
              <w:jc w:val="center"/>
              <w:rPr>
                <w:bCs/>
              </w:rPr>
            </w:pPr>
            <w:r w:rsidRPr="0023417A">
              <w:rPr>
                <w:bCs/>
              </w:rPr>
              <w:t>£m</w:t>
            </w:r>
          </w:p>
        </w:tc>
        <w:tc>
          <w:tcPr>
            <w:tcW w:w="1418" w:type="dxa"/>
          </w:tcPr>
          <w:p w:rsidR="00F23C9A" w:rsidRPr="0023417A" w:rsidP="00F23C9A">
            <w:pPr>
              <w:jc w:val="center"/>
              <w:rPr>
                <w:bCs/>
              </w:rPr>
            </w:pPr>
            <w:r w:rsidRPr="0023417A">
              <w:rPr>
                <w:bCs/>
              </w:rPr>
              <w:t>£m</w:t>
            </w:r>
          </w:p>
        </w:tc>
        <w:tc>
          <w:tcPr>
            <w:tcW w:w="1417" w:type="dxa"/>
          </w:tcPr>
          <w:p w:rsidR="00F23C9A" w:rsidRPr="0023417A" w:rsidP="00F23C9A">
            <w:pPr>
              <w:jc w:val="center"/>
              <w:rPr>
                <w:bCs/>
              </w:rPr>
            </w:pPr>
            <w:r w:rsidRPr="0023417A">
              <w:rPr>
                <w:bCs/>
              </w:rPr>
              <w:t>£m</w:t>
            </w:r>
          </w:p>
        </w:tc>
        <w:tc>
          <w:tcPr>
            <w:tcW w:w="1417" w:type="dxa"/>
          </w:tcPr>
          <w:p w:rsidR="00F23C9A" w:rsidRPr="0023417A">
            <w:pPr>
              <w:jc w:val="center"/>
              <w:rPr>
                <w:bCs/>
              </w:rPr>
            </w:pPr>
            <w:r w:rsidRPr="0023417A">
              <w:rPr>
                <w:bCs/>
              </w:rPr>
              <w:t>£m</w:t>
            </w:r>
          </w:p>
        </w:tc>
      </w:tr>
      <w:tr w:rsidTr="00F23C9A">
        <w:tblPrEx>
          <w:tblW w:w="9066" w:type="dxa"/>
          <w:tblLayout w:type="fixed"/>
          <w:tblLook w:val="04A0"/>
        </w:tblPrEx>
        <w:tc>
          <w:tcPr>
            <w:tcW w:w="3397" w:type="dxa"/>
          </w:tcPr>
          <w:p w:rsidR="00F23C9A" w:rsidRPr="0023417A" w:rsidP="00F23C9A">
            <w:pPr>
              <w:rPr>
                <w:bCs/>
              </w:rPr>
            </w:pPr>
            <w:r w:rsidRPr="0023417A">
              <w:rPr>
                <w:bCs/>
              </w:rPr>
              <w:t xml:space="preserve">Capital financing requirement </w:t>
            </w:r>
          </w:p>
        </w:tc>
        <w:tc>
          <w:tcPr>
            <w:tcW w:w="1417" w:type="dxa"/>
          </w:tcPr>
          <w:p w:rsidR="00F23C9A" w:rsidRPr="0023417A" w:rsidP="00F23C9A">
            <w:pPr>
              <w:jc w:val="right"/>
            </w:pPr>
            <w:r w:rsidRPr="0023417A">
              <w:t>1,117</w:t>
            </w:r>
          </w:p>
        </w:tc>
        <w:tc>
          <w:tcPr>
            <w:tcW w:w="1418" w:type="dxa"/>
          </w:tcPr>
          <w:p w:rsidR="00F23C9A" w:rsidRPr="0023417A" w:rsidP="00F23C9A">
            <w:pPr>
              <w:jc w:val="right"/>
            </w:pPr>
            <w:r w:rsidRPr="0023417A">
              <w:t>1,142</w:t>
            </w:r>
          </w:p>
        </w:tc>
        <w:tc>
          <w:tcPr>
            <w:tcW w:w="1417" w:type="dxa"/>
          </w:tcPr>
          <w:p w:rsidR="00F23C9A" w:rsidRPr="0023417A" w:rsidP="00F23C9A">
            <w:pPr>
              <w:jc w:val="right"/>
            </w:pPr>
            <w:r w:rsidRPr="0023417A">
              <w:t>1,164</w:t>
            </w:r>
          </w:p>
        </w:tc>
        <w:tc>
          <w:tcPr>
            <w:tcW w:w="1417" w:type="dxa"/>
          </w:tcPr>
          <w:p w:rsidR="00F23C9A" w:rsidRPr="0023417A" w:rsidP="00F23C9A">
            <w:pPr>
              <w:jc w:val="right"/>
            </w:pPr>
            <w:r w:rsidRPr="0023417A">
              <w:t>1,184</w:t>
            </w:r>
          </w:p>
        </w:tc>
      </w:tr>
      <w:tr w:rsidTr="00F23C9A">
        <w:tblPrEx>
          <w:tblW w:w="9066" w:type="dxa"/>
          <w:tblLayout w:type="fixed"/>
          <w:tblLook w:val="04A0"/>
        </w:tblPrEx>
        <w:tc>
          <w:tcPr>
            <w:tcW w:w="3397" w:type="dxa"/>
          </w:tcPr>
          <w:p w:rsidR="00F23C9A" w:rsidRPr="0023417A" w:rsidP="00F23C9A">
            <w:pPr>
              <w:rPr>
                <w:bCs/>
                <w:i/>
              </w:rPr>
            </w:pPr>
            <w:r w:rsidRPr="0023417A">
              <w:rPr>
                <w:bCs/>
              </w:rPr>
              <w:t>Other long term liabilities</w:t>
            </w:r>
          </w:p>
        </w:tc>
        <w:tc>
          <w:tcPr>
            <w:tcW w:w="1417" w:type="dxa"/>
          </w:tcPr>
          <w:p w:rsidR="00F23C9A" w:rsidRPr="0023417A" w:rsidP="00F23C9A">
            <w:pPr>
              <w:jc w:val="right"/>
            </w:pPr>
            <w:r w:rsidRPr="0023417A">
              <w:t>-139</w:t>
            </w:r>
          </w:p>
        </w:tc>
        <w:tc>
          <w:tcPr>
            <w:tcW w:w="1418" w:type="dxa"/>
          </w:tcPr>
          <w:p w:rsidR="00F23C9A" w:rsidRPr="0023417A" w:rsidP="00F23C9A">
            <w:pPr>
              <w:jc w:val="right"/>
            </w:pPr>
            <w:r w:rsidRPr="0023417A">
              <w:t>-133</w:t>
            </w:r>
          </w:p>
        </w:tc>
        <w:tc>
          <w:tcPr>
            <w:tcW w:w="1417" w:type="dxa"/>
          </w:tcPr>
          <w:p w:rsidR="00F23C9A" w:rsidRPr="0023417A" w:rsidP="00F23C9A">
            <w:pPr>
              <w:jc w:val="right"/>
            </w:pPr>
            <w:r w:rsidRPr="0023417A">
              <w:t>-126</w:t>
            </w:r>
          </w:p>
        </w:tc>
        <w:tc>
          <w:tcPr>
            <w:tcW w:w="1417" w:type="dxa"/>
          </w:tcPr>
          <w:p w:rsidR="00F23C9A" w:rsidRPr="0023417A" w:rsidP="00F23C9A">
            <w:pPr>
              <w:jc w:val="right"/>
            </w:pPr>
            <w:r w:rsidRPr="0023417A">
              <w:t>-119</w:t>
            </w:r>
          </w:p>
        </w:tc>
      </w:tr>
      <w:tr w:rsidTr="00F23C9A">
        <w:tblPrEx>
          <w:tblW w:w="9066" w:type="dxa"/>
          <w:tblLayout w:type="fixed"/>
          <w:tblLook w:val="04A0"/>
        </w:tblPrEx>
        <w:tc>
          <w:tcPr>
            <w:tcW w:w="3397" w:type="dxa"/>
            <w:shd w:val="clear" w:color="auto" w:fill="DBE5F1" w:themeFill="accent1" w:themeFillTint="33"/>
          </w:tcPr>
          <w:p w:rsidR="00F23C9A" w:rsidRPr="0023417A" w:rsidP="00F23C9A">
            <w:pPr>
              <w:rPr>
                <w:bCs/>
              </w:rPr>
            </w:pPr>
            <w:r w:rsidRPr="0023417A">
              <w:rPr>
                <w:bCs/>
              </w:rPr>
              <w:t>Borrowing capital financing requirement</w:t>
            </w:r>
          </w:p>
        </w:tc>
        <w:tc>
          <w:tcPr>
            <w:tcW w:w="1417" w:type="dxa"/>
            <w:shd w:val="clear" w:color="auto" w:fill="DBE5F1" w:themeFill="accent1" w:themeFillTint="33"/>
          </w:tcPr>
          <w:p w:rsidR="00F23C9A" w:rsidRPr="0023417A" w:rsidP="00F23C9A">
            <w:pPr>
              <w:jc w:val="right"/>
            </w:pPr>
            <w:r w:rsidRPr="0023417A">
              <w:t>978</w:t>
            </w:r>
          </w:p>
        </w:tc>
        <w:tc>
          <w:tcPr>
            <w:tcW w:w="1418" w:type="dxa"/>
            <w:shd w:val="clear" w:color="auto" w:fill="DBE5F1" w:themeFill="accent1" w:themeFillTint="33"/>
          </w:tcPr>
          <w:p w:rsidR="00F23C9A" w:rsidRPr="0023417A" w:rsidP="00F23C9A">
            <w:pPr>
              <w:jc w:val="right"/>
            </w:pPr>
            <w:r w:rsidRPr="0023417A">
              <w:t>1,009</w:t>
            </w:r>
          </w:p>
        </w:tc>
        <w:tc>
          <w:tcPr>
            <w:tcW w:w="1417" w:type="dxa"/>
            <w:shd w:val="clear" w:color="auto" w:fill="DBE5F1" w:themeFill="accent1" w:themeFillTint="33"/>
          </w:tcPr>
          <w:p w:rsidR="00F23C9A" w:rsidRPr="0023417A" w:rsidP="00F23C9A">
            <w:pPr>
              <w:jc w:val="right"/>
            </w:pPr>
            <w:r w:rsidRPr="0023417A">
              <w:t>1,038</w:t>
            </w:r>
          </w:p>
        </w:tc>
        <w:tc>
          <w:tcPr>
            <w:tcW w:w="1417" w:type="dxa"/>
            <w:shd w:val="clear" w:color="auto" w:fill="DBE5F1" w:themeFill="accent1" w:themeFillTint="33"/>
          </w:tcPr>
          <w:p w:rsidR="00F23C9A" w:rsidRPr="0023417A" w:rsidP="00F23C9A">
            <w:pPr>
              <w:jc w:val="right"/>
            </w:pPr>
            <w:r w:rsidRPr="0023417A">
              <w:t>1,06</w:t>
            </w:r>
            <w:r>
              <w:t>5</w:t>
            </w:r>
          </w:p>
        </w:tc>
      </w:tr>
      <w:tr w:rsidTr="00F23C9A">
        <w:tblPrEx>
          <w:tblW w:w="9066" w:type="dxa"/>
          <w:tblLayout w:type="fixed"/>
          <w:tblLook w:val="04A0"/>
        </w:tblPrEx>
        <w:tc>
          <w:tcPr>
            <w:tcW w:w="3397" w:type="dxa"/>
          </w:tcPr>
          <w:p w:rsidR="00F23C9A" w:rsidRPr="0023417A" w:rsidP="00F23C9A">
            <w:pPr>
              <w:rPr>
                <w:bCs/>
                <w:i/>
              </w:rPr>
            </w:pPr>
          </w:p>
        </w:tc>
        <w:tc>
          <w:tcPr>
            <w:tcW w:w="1417" w:type="dxa"/>
          </w:tcPr>
          <w:p w:rsidR="00F23C9A" w:rsidRPr="0023417A" w:rsidP="00F23C9A">
            <w:pPr>
              <w:jc w:val="right"/>
            </w:pPr>
          </w:p>
        </w:tc>
        <w:tc>
          <w:tcPr>
            <w:tcW w:w="1418" w:type="dxa"/>
          </w:tcPr>
          <w:p w:rsidR="00F23C9A" w:rsidRPr="0023417A" w:rsidP="00F23C9A">
            <w:pPr>
              <w:jc w:val="right"/>
            </w:pPr>
          </w:p>
        </w:tc>
        <w:tc>
          <w:tcPr>
            <w:tcW w:w="1417" w:type="dxa"/>
          </w:tcPr>
          <w:p w:rsidR="00F23C9A" w:rsidRPr="0023417A" w:rsidP="00F23C9A">
            <w:pPr>
              <w:jc w:val="right"/>
            </w:pPr>
          </w:p>
        </w:tc>
        <w:tc>
          <w:tcPr>
            <w:tcW w:w="1417" w:type="dxa"/>
          </w:tcPr>
          <w:p w:rsidR="00F23C9A" w:rsidRPr="0023417A" w:rsidP="00F23C9A">
            <w:pPr>
              <w:jc w:val="right"/>
            </w:pPr>
          </w:p>
        </w:tc>
      </w:tr>
      <w:tr w:rsidTr="00F23C9A">
        <w:tblPrEx>
          <w:tblW w:w="9066" w:type="dxa"/>
          <w:tblLayout w:type="fixed"/>
          <w:tblLook w:val="04A0"/>
        </w:tblPrEx>
        <w:tc>
          <w:tcPr>
            <w:tcW w:w="3397" w:type="dxa"/>
          </w:tcPr>
          <w:p w:rsidR="00F23C9A" w:rsidRPr="0023417A" w:rsidP="00F23C9A">
            <w:pPr>
              <w:rPr>
                <w:bCs/>
                <w:i/>
              </w:rPr>
            </w:pPr>
            <w:r w:rsidRPr="0023417A">
              <w:rPr>
                <w:bCs/>
              </w:rPr>
              <w:t>External borrowing</w:t>
            </w:r>
          </w:p>
        </w:tc>
        <w:tc>
          <w:tcPr>
            <w:tcW w:w="1417" w:type="dxa"/>
          </w:tcPr>
          <w:p w:rsidR="00F23C9A" w:rsidRPr="0023417A" w:rsidP="00F23C9A">
            <w:pPr>
              <w:jc w:val="right"/>
            </w:pPr>
            <w:r w:rsidRPr="0023417A">
              <w:t>-1,313</w:t>
            </w:r>
          </w:p>
        </w:tc>
        <w:tc>
          <w:tcPr>
            <w:tcW w:w="1418" w:type="dxa"/>
          </w:tcPr>
          <w:p w:rsidR="00F23C9A" w:rsidRPr="0023417A" w:rsidP="00F23C9A">
            <w:pPr>
              <w:jc w:val="right"/>
            </w:pPr>
            <w:r w:rsidRPr="0023417A">
              <w:t>-900</w:t>
            </w:r>
          </w:p>
        </w:tc>
        <w:tc>
          <w:tcPr>
            <w:tcW w:w="1417" w:type="dxa"/>
          </w:tcPr>
          <w:p w:rsidR="00F23C9A" w:rsidRPr="0023417A" w:rsidP="00F23C9A">
            <w:pPr>
              <w:jc w:val="right"/>
            </w:pPr>
            <w:r w:rsidRPr="0023417A">
              <w:t>-885</w:t>
            </w:r>
          </w:p>
        </w:tc>
        <w:tc>
          <w:tcPr>
            <w:tcW w:w="1417" w:type="dxa"/>
          </w:tcPr>
          <w:p w:rsidR="00F23C9A" w:rsidRPr="0023417A" w:rsidP="00F23C9A">
            <w:pPr>
              <w:jc w:val="right"/>
            </w:pPr>
            <w:r w:rsidRPr="0023417A">
              <w:t>-875</w:t>
            </w:r>
          </w:p>
        </w:tc>
      </w:tr>
      <w:tr w:rsidTr="00F23C9A">
        <w:tblPrEx>
          <w:tblW w:w="9066" w:type="dxa"/>
          <w:tblLayout w:type="fixed"/>
          <w:tblLook w:val="04A0"/>
        </w:tblPrEx>
        <w:tc>
          <w:tcPr>
            <w:tcW w:w="3397" w:type="dxa"/>
            <w:shd w:val="clear" w:color="auto" w:fill="DBE5F1" w:themeFill="accent1" w:themeFillTint="33"/>
          </w:tcPr>
          <w:p w:rsidR="00F23C9A" w:rsidRPr="0023417A" w:rsidP="00F23C9A">
            <w:pPr>
              <w:rPr>
                <w:bCs/>
              </w:rPr>
            </w:pPr>
            <w:r w:rsidRPr="0023417A">
              <w:rPr>
                <w:bCs/>
              </w:rPr>
              <w:t>Borrowing requirement for capital</w:t>
            </w:r>
          </w:p>
        </w:tc>
        <w:tc>
          <w:tcPr>
            <w:tcW w:w="1417" w:type="dxa"/>
            <w:shd w:val="clear" w:color="auto" w:fill="DBE5F1" w:themeFill="accent1" w:themeFillTint="33"/>
          </w:tcPr>
          <w:p w:rsidR="00F23C9A" w:rsidRPr="0023417A" w:rsidP="00F23C9A">
            <w:pPr>
              <w:jc w:val="right"/>
            </w:pPr>
            <w:r w:rsidRPr="0023417A">
              <w:t>-335</w:t>
            </w:r>
          </w:p>
        </w:tc>
        <w:tc>
          <w:tcPr>
            <w:tcW w:w="1418" w:type="dxa"/>
            <w:shd w:val="clear" w:color="auto" w:fill="DBE5F1" w:themeFill="accent1" w:themeFillTint="33"/>
          </w:tcPr>
          <w:p w:rsidR="00F23C9A" w:rsidRPr="0023417A" w:rsidP="00F23C9A">
            <w:pPr>
              <w:jc w:val="right"/>
            </w:pPr>
            <w:r w:rsidRPr="0023417A">
              <w:t>109</w:t>
            </w:r>
          </w:p>
        </w:tc>
        <w:tc>
          <w:tcPr>
            <w:tcW w:w="1417" w:type="dxa"/>
            <w:shd w:val="clear" w:color="auto" w:fill="DBE5F1" w:themeFill="accent1" w:themeFillTint="33"/>
          </w:tcPr>
          <w:p w:rsidR="00F23C9A" w:rsidRPr="0023417A" w:rsidP="00F23C9A">
            <w:pPr>
              <w:jc w:val="right"/>
            </w:pPr>
            <w:r w:rsidRPr="0023417A">
              <w:t>15</w:t>
            </w:r>
            <w:r>
              <w:t>3</w:t>
            </w:r>
          </w:p>
        </w:tc>
        <w:tc>
          <w:tcPr>
            <w:tcW w:w="1417" w:type="dxa"/>
            <w:shd w:val="clear" w:color="auto" w:fill="DBE5F1" w:themeFill="accent1" w:themeFillTint="33"/>
          </w:tcPr>
          <w:p w:rsidR="00F23C9A" w:rsidRPr="0023417A" w:rsidP="00F23C9A">
            <w:pPr>
              <w:jc w:val="right"/>
            </w:pPr>
            <w:r w:rsidRPr="0023417A">
              <w:t>19</w:t>
            </w:r>
            <w:r>
              <w:t>0</w:t>
            </w:r>
          </w:p>
        </w:tc>
      </w:tr>
      <w:tr w:rsidTr="00F23C9A">
        <w:tblPrEx>
          <w:tblW w:w="9066" w:type="dxa"/>
          <w:tblLayout w:type="fixed"/>
          <w:tblLook w:val="04A0"/>
        </w:tblPrEx>
        <w:tc>
          <w:tcPr>
            <w:tcW w:w="3397" w:type="dxa"/>
          </w:tcPr>
          <w:p w:rsidR="00F23C9A" w:rsidRPr="0023417A" w:rsidP="00F23C9A">
            <w:pPr>
              <w:rPr>
                <w:bCs/>
              </w:rPr>
            </w:pPr>
            <w:r w:rsidRPr="0023417A">
              <w:rPr>
                <w:bCs/>
              </w:rPr>
              <w:t>Other borrowing requirements*</w:t>
            </w:r>
          </w:p>
        </w:tc>
        <w:tc>
          <w:tcPr>
            <w:tcW w:w="1417" w:type="dxa"/>
          </w:tcPr>
          <w:p w:rsidR="00F23C9A" w:rsidRPr="0023417A" w:rsidP="00F23C9A">
            <w:pPr>
              <w:jc w:val="right"/>
            </w:pPr>
            <w:r w:rsidRPr="0023417A">
              <w:t>84</w:t>
            </w:r>
          </w:p>
        </w:tc>
        <w:tc>
          <w:tcPr>
            <w:tcW w:w="1418" w:type="dxa"/>
          </w:tcPr>
          <w:p w:rsidR="00F23C9A" w:rsidRPr="0023417A" w:rsidP="00F23C9A">
            <w:pPr>
              <w:jc w:val="right"/>
            </w:pPr>
            <w:r w:rsidRPr="0023417A">
              <w:t>79</w:t>
            </w:r>
          </w:p>
        </w:tc>
        <w:tc>
          <w:tcPr>
            <w:tcW w:w="1417" w:type="dxa"/>
          </w:tcPr>
          <w:p w:rsidR="00F23C9A" w:rsidRPr="0023417A" w:rsidP="00F23C9A">
            <w:pPr>
              <w:jc w:val="right"/>
            </w:pPr>
            <w:r w:rsidRPr="0023417A">
              <w:t>74</w:t>
            </w:r>
          </w:p>
        </w:tc>
        <w:tc>
          <w:tcPr>
            <w:tcW w:w="1417" w:type="dxa"/>
          </w:tcPr>
          <w:p w:rsidR="00F23C9A" w:rsidRPr="0023417A" w:rsidP="00F23C9A">
            <w:pPr>
              <w:jc w:val="right"/>
            </w:pPr>
            <w:r w:rsidRPr="0023417A">
              <w:t>69</w:t>
            </w:r>
          </w:p>
        </w:tc>
      </w:tr>
      <w:tr w:rsidTr="00F23C9A">
        <w:tblPrEx>
          <w:tblW w:w="9066" w:type="dxa"/>
          <w:tblLayout w:type="fixed"/>
          <w:tblLook w:val="04A0"/>
        </w:tblPrEx>
        <w:tc>
          <w:tcPr>
            <w:tcW w:w="3397" w:type="dxa"/>
          </w:tcPr>
          <w:p w:rsidR="00F23C9A" w:rsidRPr="001B6908" w:rsidP="00F23C9A">
            <w:pPr>
              <w:rPr>
                <w:bCs/>
              </w:rPr>
            </w:pPr>
            <w:r w:rsidRPr="001B6908">
              <w:rPr>
                <w:bCs/>
              </w:rPr>
              <w:t>Reserves and working capital</w:t>
            </w:r>
          </w:p>
        </w:tc>
        <w:tc>
          <w:tcPr>
            <w:tcW w:w="1417" w:type="dxa"/>
          </w:tcPr>
          <w:p w:rsidR="00F23C9A" w:rsidRPr="001B6908" w:rsidP="00F23C9A">
            <w:pPr>
              <w:jc w:val="right"/>
            </w:pPr>
            <w:r w:rsidRPr="001B6908">
              <w:t>-550</w:t>
            </w:r>
          </w:p>
        </w:tc>
        <w:tc>
          <w:tcPr>
            <w:tcW w:w="1418" w:type="dxa"/>
          </w:tcPr>
          <w:p w:rsidR="00F23C9A" w:rsidRPr="001B6908" w:rsidP="00F23C9A">
            <w:pPr>
              <w:jc w:val="right"/>
            </w:pPr>
            <w:r w:rsidRPr="001B6908">
              <w:t>-550</w:t>
            </w:r>
          </w:p>
        </w:tc>
        <w:tc>
          <w:tcPr>
            <w:tcW w:w="1417" w:type="dxa"/>
          </w:tcPr>
          <w:p w:rsidR="00F23C9A" w:rsidRPr="001B6908" w:rsidP="00F23C9A">
            <w:pPr>
              <w:jc w:val="right"/>
            </w:pPr>
            <w:r w:rsidRPr="001B6908">
              <w:t>-550</w:t>
            </w:r>
          </w:p>
        </w:tc>
        <w:tc>
          <w:tcPr>
            <w:tcW w:w="1417" w:type="dxa"/>
          </w:tcPr>
          <w:p w:rsidR="00F23C9A" w:rsidRPr="001B6908" w:rsidP="00F23C9A">
            <w:pPr>
              <w:jc w:val="right"/>
            </w:pPr>
            <w:r w:rsidRPr="001B6908">
              <w:t>-550</w:t>
            </w:r>
          </w:p>
        </w:tc>
      </w:tr>
      <w:tr w:rsidTr="00F23C9A">
        <w:tblPrEx>
          <w:tblW w:w="9066" w:type="dxa"/>
          <w:tblLayout w:type="fixed"/>
          <w:tblLook w:val="04A0"/>
        </w:tblPrEx>
        <w:tc>
          <w:tcPr>
            <w:tcW w:w="3397" w:type="dxa"/>
            <w:shd w:val="clear" w:color="auto" w:fill="DBE5F1" w:themeFill="accent1" w:themeFillTint="33"/>
          </w:tcPr>
          <w:p w:rsidR="00F23C9A" w:rsidRPr="0023417A" w:rsidP="00F23C9A">
            <w:pPr>
              <w:rPr>
                <w:bCs/>
              </w:rPr>
            </w:pPr>
            <w:r w:rsidRPr="0023417A">
              <w:rPr>
                <w:bCs/>
              </w:rPr>
              <w:t xml:space="preserve">Borrowing/ - Investment need </w:t>
            </w:r>
          </w:p>
        </w:tc>
        <w:tc>
          <w:tcPr>
            <w:tcW w:w="1417" w:type="dxa"/>
            <w:shd w:val="clear" w:color="auto" w:fill="DBE5F1" w:themeFill="accent1" w:themeFillTint="33"/>
          </w:tcPr>
          <w:p w:rsidR="00F23C9A" w:rsidRPr="0023417A" w:rsidP="00F23C9A">
            <w:pPr>
              <w:jc w:val="right"/>
            </w:pPr>
            <w:r>
              <w:t>-80</w:t>
            </w:r>
            <w:r w:rsidRPr="0023417A">
              <w:t>1</w:t>
            </w:r>
          </w:p>
        </w:tc>
        <w:tc>
          <w:tcPr>
            <w:tcW w:w="1418" w:type="dxa"/>
            <w:shd w:val="clear" w:color="auto" w:fill="DBE5F1" w:themeFill="accent1" w:themeFillTint="33"/>
          </w:tcPr>
          <w:p w:rsidR="00F23C9A" w:rsidRPr="0023417A" w:rsidP="00F23C9A">
            <w:pPr>
              <w:jc w:val="right"/>
            </w:pPr>
            <w:r>
              <w:t>-36</w:t>
            </w:r>
            <w:r w:rsidRPr="0023417A">
              <w:t>2</w:t>
            </w:r>
          </w:p>
        </w:tc>
        <w:tc>
          <w:tcPr>
            <w:tcW w:w="1417" w:type="dxa"/>
            <w:shd w:val="clear" w:color="auto" w:fill="DBE5F1" w:themeFill="accent1" w:themeFillTint="33"/>
          </w:tcPr>
          <w:p w:rsidR="00F23C9A" w:rsidRPr="0023417A" w:rsidP="00F23C9A">
            <w:pPr>
              <w:jc w:val="right"/>
            </w:pPr>
            <w:r>
              <w:t>-323</w:t>
            </w:r>
          </w:p>
        </w:tc>
        <w:tc>
          <w:tcPr>
            <w:tcW w:w="1417" w:type="dxa"/>
            <w:shd w:val="clear" w:color="auto" w:fill="DBE5F1" w:themeFill="accent1" w:themeFillTint="33"/>
          </w:tcPr>
          <w:p w:rsidR="00F23C9A" w:rsidRPr="0023417A" w:rsidP="00F23C9A">
            <w:pPr>
              <w:jc w:val="right"/>
            </w:pPr>
            <w:r>
              <w:t>-291</w:t>
            </w:r>
          </w:p>
        </w:tc>
      </w:tr>
    </w:tbl>
    <w:p w:rsidR="00F23C9A" w:rsidRPr="0023417A" w:rsidP="00F23C9A">
      <w:pPr>
        <w:jc w:val="both"/>
        <w:rPr>
          <w:bCs/>
          <w:sz w:val="20"/>
          <w:szCs w:val="20"/>
        </w:rPr>
      </w:pPr>
    </w:p>
    <w:p w:rsidR="00F23C9A" w:rsidP="00F23C9A">
      <w:pPr>
        <w:jc w:val="both"/>
        <w:rPr>
          <w:bCs/>
          <w:sz w:val="20"/>
          <w:szCs w:val="20"/>
        </w:rPr>
      </w:pPr>
      <w:r w:rsidRPr="0023417A">
        <w:rPr>
          <w:bCs/>
          <w:sz w:val="20"/>
          <w:szCs w:val="20"/>
        </w:rPr>
        <w:t>*shared investment scheme, debt held on behalf other local authorities and premiums</w:t>
      </w:r>
    </w:p>
    <w:p w:rsidR="00F23C9A" w:rsidP="00F23C9A">
      <w:pPr>
        <w:jc w:val="both"/>
        <w:rPr>
          <w:bCs/>
          <w:sz w:val="20"/>
          <w:szCs w:val="20"/>
        </w:rPr>
      </w:pPr>
    </w:p>
    <w:p w:rsidR="00F23C9A" w:rsidRPr="002475DB" w:rsidP="00F23C9A">
      <w:pPr>
        <w:jc w:val="both"/>
        <w:rPr>
          <w:bCs/>
        </w:rPr>
      </w:pPr>
      <w:r w:rsidRPr="002475DB">
        <w:rPr>
          <w:bCs/>
        </w:rPr>
        <w:t>The table shows that there is a</w:t>
      </w:r>
      <w:r>
        <w:rPr>
          <w:bCs/>
        </w:rPr>
        <w:t>n</w:t>
      </w:r>
      <w:r w:rsidRPr="002475DB">
        <w:rPr>
          <w:bCs/>
        </w:rPr>
        <w:t xml:space="preserve"> identified need for borrowing from 2021/22</w:t>
      </w:r>
      <w:r>
        <w:rPr>
          <w:bCs/>
        </w:rPr>
        <w:t>,</w:t>
      </w:r>
      <w:r w:rsidRPr="002475DB">
        <w:rPr>
          <w:bCs/>
        </w:rPr>
        <w:t xml:space="preserve"> </w:t>
      </w:r>
      <w:r>
        <w:rPr>
          <w:bCs/>
        </w:rPr>
        <w:t>although some of this could be satisfied by the</w:t>
      </w:r>
      <w:r w:rsidRPr="002475DB">
        <w:rPr>
          <w:bCs/>
        </w:rPr>
        <w:t xml:space="preserve"> use</w:t>
      </w:r>
      <w:r>
        <w:rPr>
          <w:bCs/>
        </w:rPr>
        <w:t xml:space="preserve"> of</w:t>
      </w:r>
      <w:r w:rsidRPr="002475DB">
        <w:rPr>
          <w:bCs/>
        </w:rPr>
        <w:t xml:space="preserve"> internal reserves.</w:t>
      </w:r>
    </w:p>
    <w:p w:rsidR="00F23C9A" w:rsidRPr="0023417A" w:rsidP="00F23C9A">
      <w:pPr>
        <w:rPr>
          <w:b/>
        </w:rPr>
      </w:pPr>
    </w:p>
    <w:p w:rsidR="00F23C9A" w:rsidRPr="006330B4" w:rsidP="00F23C9A">
      <w:pPr>
        <w:rPr>
          <w:b/>
          <w:sz w:val="28"/>
          <w:szCs w:val="28"/>
        </w:rPr>
      </w:pPr>
      <w:r w:rsidRPr="006330B4">
        <w:rPr>
          <w:b/>
          <w:sz w:val="28"/>
          <w:szCs w:val="28"/>
        </w:rPr>
        <w:t>Borrowing Strategy</w:t>
      </w:r>
    </w:p>
    <w:p w:rsidR="00F23C9A" w:rsidRPr="006330B4" w:rsidP="00F23C9A">
      <w:pPr>
        <w:rPr>
          <w:b/>
        </w:rPr>
      </w:pPr>
    </w:p>
    <w:p w:rsidR="00F23C9A" w:rsidRPr="006330B4" w:rsidP="00F23C9A">
      <w:pPr>
        <w:jc w:val="both"/>
        <w:rPr>
          <w:b/>
        </w:rPr>
      </w:pPr>
      <w:r w:rsidRPr="006330B4">
        <w:t xml:space="preserve">The borrowing strategy will be determined by the need for the council to borrow </w:t>
      </w:r>
      <w:r>
        <w:t xml:space="preserve">in accordance to the Prudential Code </w:t>
      </w:r>
      <w:r w:rsidRPr="006330B4">
        <w:t xml:space="preserve">and the impact of the economic climate on the </w:t>
      </w:r>
      <w:r w:rsidRPr="006330B4">
        <w:t xml:space="preserve">prevailing cost and availability of borrowing. </w:t>
      </w:r>
      <w:r w:rsidRPr="00420162">
        <w:t xml:space="preserve">The council </w:t>
      </w:r>
      <w:r>
        <w:t>will continue</w:t>
      </w:r>
      <w:r w:rsidRPr="00420162">
        <w:t xml:space="preserve"> to ensur</w:t>
      </w:r>
      <w:r>
        <w:t>e</w:t>
      </w:r>
      <w:r w:rsidRPr="00420162">
        <w:t xml:space="preserve"> the borrowing needs are met </w:t>
      </w:r>
      <w:r>
        <w:t xml:space="preserve">whilst balancing the aim of keeping costs as low as possible and providing </w:t>
      </w:r>
      <w:r w:rsidRPr="00420162">
        <w:t>certainty of cost over the long term</w:t>
      </w:r>
      <w:r>
        <w:t>.</w:t>
      </w:r>
    </w:p>
    <w:p w:rsidR="00F23C9A" w:rsidRPr="006330B4" w:rsidP="00F23C9A">
      <w:pPr>
        <w:pStyle w:val="ListParagraph"/>
        <w:jc w:val="both"/>
      </w:pPr>
    </w:p>
    <w:p w:rsidR="00F23C9A" w:rsidRPr="006330B4" w:rsidP="00F23C9A">
      <w:pPr>
        <w:jc w:val="both"/>
      </w:pPr>
      <w:r w:rsidRPr="006330B4">
        <w:t>The council has a borrowing requirement over the next three years</w:t>
      </w:r>
      <w:r>
        <w:t>, this being the minimum period covered by the Code. However</w:t>
      </w:r>
      <w:r w:rsidRPr="006330B4">
        <w:t xml:space="preserve"> in assessing the need to borrow, consideration is given to the requirement to borrow for the longer term. The graph below compares the estimated total debt requirement and debt maturity </w:t>
      </w:r>
      <w:r>
        <w:t>for holdings at</w:t>
      </w:r>
      <w:r w:rsidRPr="006330B4">
        <w:t xml:space="preserve"> 30 November 2020 for the next 50 years given the current capital programme and minimum revenue provision policy. </w:t>
      </w:r>
    </w:p>
    <w:p w:rsidR="00F23C9A" w:rsidP="00F23C9A">
      <w:pPr>
        <w:jc w:val="both"/>
        <w:rPr>
          <w:highlight w:val="yellow"/>
        </w:rPr>
      </w:pPr>
    </w:p>
    <w:p w:rsidR="00F23C9A" w:rsidP="00F23C9A">
      <w:pPr>
        <w:jc w:val="both"/>
        <w:rPr>
          <w:highlight w:val="yellow"/>
        </w:rPr>
      </w:pPr>
      <w:r>
        <w:rPr>
          <w:noProof/>
        </w:rPr>
        <w:drawing>
          <wp:inline distT="0" distB="0" distL="0" distR="0">
            <wp:extent cx="5724525" cy="348615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23C9A" w:rsidP="00F23C9A">
      <w:pPr>
        <w:jc w:val="both"/>
        <w:rPr>
          <w:highlight w:val="yellow"/>
        </w:rPr>
      </w:pPr>
    </w:p>
    <w:p w:rsidR="00F23C9A" w:rsidP="00F23C9A">
      <w:pPr>
        <w:jc w:val="both"/>
        <w:rPr>
          <w:highlight w:val="yellow"/>
        </w:rPr>
      </w:pPr>
    </w:p>
    <w:p w:rsidR="00F23C9A" w:rsidP="00F23C9A">
      <w:pPr>
        <w:jc w:val="both"/>
      </w:pPr>
      <w:r w:rsidRPr="006F0FCE">
        <w:t>The graph demonstrates that there is a need to borrow</w:t>
      </w:r>
      <w:r>
        <w:t xml:space="preserve">, however, </w:t>
      </w:r>
      <w:r w:rsidRPr="006F0FCE">
        <w:t xml:space="preserve">the requirement reduces </w:t>
      </w:r>
      <w:r>
        <w:t>over time up to 25 years, when the</w:t>
      </w:r>
      <w:r w:rsidRPr="006F0FCE">
        <w:t xml:space="preserve"> borrowing </w:t>
      </w:r>
      <w:r>
        <w:t>becomes</w:t>
      </w:r>
      <w:r w:rsidRPr="006F0FCE">
        <w:t xml:space="preserve"> above </w:t>
      </w:r>
      <w:r>
        <w:t xml:space="preserve">current </w:t>
      </w:r>
      <w:r w:rsidRPr="006F0FCE">
        <w:t xml:space="preserve">identified need. This has arisen as there has been a </w:t>
      </w:r>
      <w:r>
        <w:t xml:space="preserve">move </w:t>
      </w:r>
      <w:r w:rsidRPr="00C17149">
        <w:t>towards fixing a higher proportion of debt long term, including the issuance of a 40 year bond</w:t>
      </w:r>
      <w:r>
        <w:t>, while interest rates have been at historically low levels</w:t>
      </w:r>
      <w:r w:rsidRPr="00C17149">
        <w:t>.</w:t>
      </w:r>
      <w:r>
        <w:t xml:space="preserve"> It is anticipated that there will be new borrowing needed beyond year 25 to fund capital programmes over that included in the above graph and therefore the apparent borrowing above need is not considered to be a concern. </w:t>
      </w:r>
    </w:p>
    <w:p w:rsidR="00F23C9A" w:rsidP="00F23C9A">
      <w:pPr>
        <w:jc w:val="both"/>
      </w:pPr>
    </w:p>
    <w:p w:rsidR="00F23C9A" w:rsidRPr="00C17149" w:rsidP="00F23C9A">
      <w:pPr>
        <w:jc w:val="both"/>
      </w:pPr>
      <w:r w:rsidRPr="00C17149">
        <w:t>There is a large requirement in the early years</w:t>
      </w:r>
      <w:r>
        <w:t xml:space="preserve">, </w:t>
      </w:r>
      <w:r w:rsidRPr="00C17149">
        <w:t xml:space="preserve">due to the impact of new capital schemes in the programme and the need to replace </w:t>
      </w:r>
      <w:r>
        <w:t xml:space="preserve">maturing </w:t>
      </w:r>
      <w:r w:rsidRPr="00C17149">
        <w:t>debt</w:t>
      </w:r>
      <w:r>
        <w:t xml:space="preserve">. </w:t>
      </w:r>
      <w:r w:rsidRPr="00C17149">
        <w:t xml:space="preserve">With short-term interest rates currently lower than long-term rates, it </w:t>
      </w:r>
      <w:r>
        <w:t>is still</w:t>
      </w:r>
      <w:r w:rsidRPr="00C17149">
        <w:t xml:space="preserve"> cost effective to borrow short-term. Given the economic outlook, significant increases in interest rates are not forecast in the medium term</w:t>
      </w:r>
      <w:r>
        <w:t xml:space="preserve"> and therefore</w:t>
      </w:r>
      <w:r w:rsidRPr="00C17149">
        <w:t xml:space="preserve"> </w:t>
      </w:r>
      <w:r>
        <w:t>it is anticipated that short term borrowing will still form a part of the debt portfolio.</w:t>
      </w:r>
      <w:r w:rsidRPr="00C17149">
        <w:t xml:space="preserve"> However, there is economic uncertainty and rates are at historically low levels</w:t>
      </w:r>
      <w:r>
        <w:t xml:space="preserve"> and as such,</w:t>
      </w:r>
      <w:r w:rsidRPr="00C17149">
        <w:t xml:space="preserve"> the council has moved to secure greater certainty of costs and reduce the re-financing risk in its de</w:t>
      </w:r>
      <w:r>
        <w:t>b</w:t>
      </w:r>
      <w:r w:rsidRPr="00C17149">
        <w:t>t portfolio by taking some long term debt.</w:t>
      </w:r>
      <w:r>
        <w:t xml:space="preserve"> This will continue to be reviewed in 2021/22 especially in relation to debt with 10-20 years to maturity where the council does already have an identified need to borrow. </w:t>
      </w:r>
    </w:p>
    <w:p w:rsidR="00F23C9A" w:rsidRPr="00707E3B">
      <w:pPr>
        <w:pStyle w:val="ListParagraph"/>
        <w:jc w:val="both"/>
        <w:rPr>
          <w:highlight w:val="yellow"/>
        </w:rPr>
      </w:pPr>
    </w:p>
    <w:p w:rsidR="00F23C9A" w:rsidP="00F23C9A">
      <w:pPr>
        <w:jc w:val="both"/>
      </w:pPr>
      <w:r w:rsidRPr="002475DB">
        <w:t xml:space="preserve">There are a range of options available for borrowing in 2021/22: </w:t>
      </w:r>
    </w:p>
    <w:p w:rsidR="00F23C9A" w:rsidRPr="002475DB" w:rsidP="00F23C9A">
      <w:pPr>
        <w:jc w:val="both"/>
      </w:pPr>
    </w:p>
    <w:p w:rsidR="00F23C9A" w:rsidRPr="002475DB" w:rsidP="00F23C9A">
      <w:pPr>
        <w:pStyle w:val="ListParagraph"/>
        <w:numPr>
          <w:ilvl w:val="0"/>
          <w:numId w:val="7"/>
        </w:numPr>
        <w:spacing w:after="240"/>
        <w:ind w:left="360"/>
        <w:jc w:val="both"/>
      </w:pPr>
      <w:r w:rsidRPr="002475DB">
        <w:t xml:space="preserve">Variable rate borrowing is expected to be cheaper than fixed rate long term borrowing and </w:t>
      </w:r>
      <w:r>
        <w:t xml:space="preserve">this </w:t>
      </w:r>
      <w:r w:rsidRPr="002475DB">
        <w:t xml:space="preserve">will be attractive during the financial year, particularly as variable rates are closely linked to Bank Rate. </w:t>
      </w:r>
    </w:p>
    <w:p w:rsidR="00F23C9A" w:rsidRPr="002475DB" w:rsidP="00F23C9A">
      <w:pPr>
        <w:pStyle w:val="ListParagraph"/>
        <w:numPr>
          <w:ilvl w:val="0"/>
          <w:numId w:val="7"/>
        </w:numPr>
        <w:spacing w:after="240"/>
        <w:ind w:left="360"/>
        <w:jc w:val="both"/>
      </w:pPr>
      <w:r w:rsidRPr="002475DB">
        <w:t>Under 10 years loan duration</w:t>
      </w:r>
      <w:r>
        <w:t>,</w:t>
      </w:r>
      <w:r w:rsidRPr="002475DB">
        <w:t xml:space="preserve"> rates are expected to be lower than long term rates, so this opens up a range of choices that may allow the council to spread maturities.</w:t>
      </w:r>
    </w:p>
    <w:p w:rsidR="00F23C9A" w:rsidRPr="002475DB" w:rsidP="00F23C9A">
      <w:pPr>
        <w:pStyle w:val="ListParagraph"/>
        <w:numPr>
          <w:ilvl w:val="0"/>
          <w:numId w:val="7"/>
        </w:numPr>
        <w:spacing w:after="240"/>
        <w:ind w:left="360"/>
        <w:jc w:val="both"/>
      </w:pPr>
      <w:r>
        <w:t>T</w:t>
      </w:r>
      <w:r w:rsidRPr="002475DB">
        <w:t>he issuance of a 'commercial paper</w:t>
      </w:r>
      <w:r>
        <w:t>'/</w:t>
      </w:r>
      <w:r w:rsidRPr="002475DB">
        <w:t>euro medium term note (an unsecured, short-term debt instrument). This is a flexible debt instrument that facilitates direct issuance into the public or private markets. The UK Municipal Bonds Agency euro medium term note documentation allows for "Non-Guaranteed" single council bond issuance under UK Municipal Bonds Agency documentation</w:t>
      </w:r>
      <w:r>
        <w:t>,</w:t>
      </w:r>
      <w:r w:rsidRPr="002475DB">
        <w:t xml:space="preserve"> provided the council has its own long term credit rating. This will represent a cheaper route to market than a stand-alone bond issue and it is this method that the council has used to issue two bonds</w:t>
      </w:r>
      <w:r>
        <w:t xml:space="preserve"> previously. I</w:t>
      </w:r>
      <w:r w:rsidRPr="002475DB">
        <w:t>f a third bond was considered beneficial then it is the likely route to be chosen by the council</w:t>
      </w:r>
      <w:r>
        <w:t>.</w:t>
      </w:r>
      <w:r w:rsidRPr="002475DB">
        <w:t xml:space="preserve"> </w:t>
      </w:r>
    </w:p>
    <w:p w:rsidR="00F23C9A" w:rsidP="00F23C9A">
      <w:pPr>
        <w:pStyle w:val="ListParagraph"/>
        <w:numPr>
          <w:ilvl w:val="0"/>
          <w:numId w:val="7"/>
        </w:numPr>
        <w:spacing w:after="240"/>
        <w:ind w:left="360"/>
        <w:jc w:val="both"/>
      </w:pPr>
      <w:r w:rsidRPr="002475DB">
        <w:t xml:space="preserve">The UK Municipal Bonds Agency is proposing a product which does not include a joint and several guarantee. Instead, a council’s liability will be proportional to its share of the outstanding borrowing. Consideration as to whether or not this would be an appropriate form of borrowing will be given when the full details are available. </w:t>
      </w:r>
    </w:p>
    <w:p w:rsidR="00F23C9A" w:rsidRPr="002475DB" w:rsidP="00F23C9A">
      <w:pPr>
        <w:pStyle w:val="ListParagraph"/>
        <w:numPr>
          <w:ilvl w:val="0"/>
          <w:numId w:val="7"/>
        </w:numPr>
        <w:spacing w:after="240"/>
        <w:ind w:left="360"/>
        <w:jc w:val="both"/>
      </w:pPr>
      <w:r>
        <w:t>The Public Works Loan Board continues to be available as a source of borrowing, and recent changes have meant this once again becomes a viable option.</w:t>
      </w:r>
    </w:p>
    <w:p w:rsidR="00F23C9A" w:rsidP="00F23C9A">
      <w:pPr>
        <w:jc w:val="both"/>
      </w:pPr>
      <w:r w:rsidRPr="009C0FE9">
        <w:t>Against this background, the Director of Finance will, in conjunction with the council's advisers, monitor the interest rate situation closely and will adopt a pragmatic approach to delivering the objectives of this strategy within changing economic circumstances. All decisions on whether to undertake new or replacement borrowing to support previous or future capital investment will be subject to evaluation against the following criteria:</w:t>
      </w:r>
    </w:p>
    <w:p w:rsidR="00F23C9A" w:rsidRPr="009C0FE9" w:rsidP="00F23C9A">
      <w:pPr>
        <w:jc w:val="both"/>
      </w:pPr>
    </w:p>
    <w:p w:rsidR="00F23C9A" w:rsidRPr="009C0FE9" w:rsidP="00F23C9A">
      <w:pPr>
        <w:pStyle w:val="ListParagraph"/>
        <w:numPr>
          <w:ilvl w:val="0"/>
          <w:numId w:val="1"/>
        </w:numPr>
        <w:spacing w:after="240"/>
        <w:jc w:val="both"/>
      </w:pPr>
      <w:r w:rsidRPr="009C0FE9">
        <w:t>Overall need, namely whether a borrowing requirement to fund the capital programme or previous capital investment exists</w:t>
      </w:r>
      <w:r>
        <w:t>.</w:t>
      </w:r>
    </w:p>
    <w:p w:rsidR="00F23C9A" w:rsidRPr="009C0FE9" w:rsidP="00F23C9A">
      <w:pPr>
        <w:pStyle w:val="ListParagraph"/>
        <w:numPr>
          <w:ilvl w:val="0"/>
          <w:numId w:val="1"/>
        </w:numPr>
        <w:spacing w:after="240"/>
        <w:jc w:val="both"/>
      </w:pPr>
      <w:r w:rsidRPr="009C0FE9">
        <w:t>Timing, when such a borrowing requirement might exist given the overall strategy for financing capital investment, and previous capital spending performance;</w:t>
      </w:r>
    </w:p>
    <w:p w:rsidR="00F23C9A" w:rsidRPr="009C0FE9" w:rsidP="00F23C9A">
      <w:pPr>
        <w:pStyle w:val="ListParagraph"/>
        <w:numPr>
          <w:ilvl w:val="0"/>
          <w:numId w:val="1"/>
        </w:numPr>
        <w:spacing w:after="240"/>
        <w:jc w:val="both"/>
      </w:pPr>
      <w:r w:rsidRPr="009C0FE9">
        <w:t>Market conditions, to ensure borrowing that does need to be undertaken is achieved at minimum cost</w:t>
      </w:r>
      <w:r>
        <w:t>.</w:t>
      </w:r>
      <w:r w:rsidRPr="009C0FE9">
        <w:t xml:space="preserve"> </w:t>
      </w:r>
    </w:p>
    <w:p w:rsidR="00F23C9A" w:rsidRPr="009C0FE9" w:rsidP="00F23C9A">
      <w:pPr>
        <w:pStyle w:val="ListParagraph"/>
        <w:numPr>
          <w:ilvl w:val="0"/>
          <w:numId w:val="1"/>
        </w:numPr>
        <w:spacing w:after="240"/>
        <w:jc w:val="both"/>
      </w:pPr>
      <w:r w:rsidRPr="009C0FE9">
        <w:t>Scale, to ensure borrowing is undertaken on a scale commensurate with the agreed financing route.</w:t>
      </w:r>
    </w:p>
    <w:p w:rsidR="00F23C9A" w:rsidRPr="009C0FE9" w:rsidP="00F23C9A">
      <w:pPr>
        <w:pStyle w:val="ListParagraph"/>
        <w:numPr>
          <w:ilvl w:val="0"/>
          <w:numId w:val="1"/>
        </w:numPr>
        <w:spacing w:after="240"/>
        <w:jc w:val="both"/>
      </w:pPr>
      <w:r w:rsidRPr="009C0FE9">
        <w:t>To consider whether to use cash balances as a form of internal borrowing</w:t>
      </w:r>
      <w:r>
        <w:t>, however</w:t>
      </w:r>
      <w:r w:rsidRPr="009C0FE9">
        <w:t xml:space="preserve"> this will </w:t>
      </w:r>
      <w:r>
        <w:t>reduce</w:t>
      </w:r>
      <w:r w:rsidRPr="009C0FE9">
        <w:t xml:space="preserve"> the level of investments th</w:t>
      </w:r>
      <w:r>
        <w:t>a</w:t>
      </w:r>
      <w:r w:rsidRPr="009C0FE9">
        <w:t>t can be made</w:t>
      </w:r>
      <w:r>
        <w:t>.</w:t>
      </w:r>
    </w:p>
    <w:p w:rsidR="00F23C9A" w:rsidRPr="009C0FE9" w:rsidP="00F23C9A">
      <w:pPr>
        <w:spacing w:after="240"/>
        <w:jc w:val="both"/>
      </w:pPr>
      <w:r w:rsidRPr="009C0FE9">
        <w:t xml:space="preserve">All long term decisions will be documented reflecting the assessment </w:t>
      </w:r>
      <w:r>
        <w:t>against</w:t>
      </w:r>
      <w:r w:rsidRPr="009C0FE9">
        <w:t xml:space="preserve"> these criteria.</w:t>
      </w:r>
    </w:p>
    <w:p w:rsidR="00F23C9A" w:rsidRPr="00C17149" w:rsidP="00F23C9A">
      <w:pPr>
        <w:jc w:val="both"/>
        <w:rPr>
          <w:b/>
          <w:i/>
        </w:rPr>
      </w:pPr>
      <w:r w:rsidRPr="00C17149">
        <w:rPr>
          <w:b/>
          <w:i/>
        </w:rPr>
        <w:t xml:space="preserve">Sources of borrowing </w:t>
      </w:r>
    </w:p>
    <w:p w:rsidR="00F23C9A" w:rsidRPr="00C17149" w:rsidP="00F23C9A">
      <w:pPr>
        <w:jc w:val="both"/>
        <w:rPr>
          <w:b/>
          <w:i/>
        </w:rPr>
      </w:pPr>
    </w:p>
    <w:p w:rsidR="00F23C9A" w:rsidRPr="00C17149" w:rsidP="00F23C9A">
      <w:pPr>
        <w:jc w:val="both"/>
      </w:pPr>
      <w:r w:rsidRPr="00C17149">
        <w:t>Traditionally the Public Works Loan Board has been the main source of long term borrowing</w:t>
      </w:r>
      <w:r>
        <w:t xml:space="preserve"> for local authorities</w:t>
      </w:r>
      <w:r w:rsidRPr="00C17149">
        <w:t xml:space="preserve">. The interest rate charged on Public Works Loan Board loans is linked to the gilt yield. </w:t>
      </w:r>
      <w:r>
        <w:t>Currently</w:t>
      </w:r>
      <w:r w:rsidRPr="00C17149">
        <w:t xml:space="preserve"> the council </w:t>
      </w:r>
      <w:r>
        <w:t>can</w:t>
      </w:r>
      <w:r w:rsidRPr="00C17149">
        <w:t xml:space="preserve"> obtain a Public Works Loan Board loan at 0.8% higher than the gilts yield (this rate is referred to as the margin). </w:t>
      </w:r>
      <w:r>
        <w:t xml:space="preserve">Recently the council has used the issuance of bonds to meet its requirements at rates lower than those available from the </w:t>
      </w:r>
      <w:r w:rsidRPr="00082F16">
        <w:t>Public Works Loan Board</w:t>
      </w:r>
      <w:r>
        <w:t>.</w:t>
      </w:r>
    </w:p>
    <w:p w:rsidR="00F23C9A" w:rsidRPr="00C17149" w:rsidP="00F23C9A">
      <w:pPr>
        <w:jc w:val="both"/>
      </w:pPr>
    </w:p>
    <w:p w:rsidR="00F23C9A" w:rsidP="00F23C9A">
      <w:pPr>
        <w:jc w:val="both"/>
      </w:pPr>
      <w:r w:rsidRPr="00C17149">
        <w:t>The approved sources of long-term and short-term borrowing will be:</w:t>
      </w:r>
    </w:p>
    <w:p w:rsidR="00F23C9A" w:rsidP="00F23C9A">
      <w:pPr>
        <w:jc w:val="both"/>
      </w:pPr>
    </w:p>
    <w:p w:rsidR="00F23C9A" w:rsidRPr="00C17149" w:rsidP="00F23C9A">
      <w:pPr>
        <w:widowControl w:val="0"/>
        <w:numPr>
          <w:ilvl w:val="0"/>
          <w:numId w:val="18"/>
        </w:numPr>
        <w:jc w:val="both"/>
      </w:pPr>
      <w:r w:rsidRPr="00C17149">
        <w:t>Public Works Loan Board</w:t>
      </w:r>
    </w:p>
    <w:p w:rsidR="00F23C9A" w:rsidRPr="00C17149" w:rsidP="00F23C9A">
      <w:pPr>
        <w:pStyle w:val="NoSpacing"/>
        <w:numPr>
          <w:ilvl w:val="0"/>
          <w:numId w:val="18"/>
        </w:numPr>
        <w:jc w:val="both"/>
      </w:pPr>
      <w:r w:rsidRPr="00C17149">
        <w:t>UK Local Authorities</w:t>
      </w:r>
    </w:p>
    <w:p w:rsidR="00F23C9A" w:rsidRPr="00C17149" w:rsidP="00F23C9A">
      <w:pPr>
        <w:pStyle w:val="NoSpacing"/>
        <w:numPr>
          <w:ilvl w:val="0"/>
          <w:numId w:val="18"/>
        </w:numPr>
        <w:jc w:val="both"/>
      </w:pPr>
      <w:r w:rsidRPr="00C17149">
        <w:t>Any institution approved for investments including high quality supranational banks such as the European Central Bank</w:t>
      </w:r>
    </w:p>
    <w:p w:rsidR="00F23C9A" w:rsidRPr="00C17149" w:rsidP="00F23C9A">
      <w:pPr>
        <w:pStyle w:val="NoSpacing"/>
        <w:numPr>
          <w:ilvl w:val="0"/>
          <w:numId w:val="18"/>
        </w:numPr>
        <w:jc w:val="both"/>
      </w:pPr>
      <w:r w:rsidRPr="00C17149">
        <w:t>UK public and private sector pension funds</w:t>
      </w:r>
    </w:p>
    <w:p w:rsidR="00F23C9A" w:rsidRPr="00C17149" w:rsidP="00F23C9A">
      <w:pPr>
        <w:pStyle w:val="NoSpacing"/>
        <w:numPr>
          <w:ilvl w:val="0"/>
          <w:numId w:val="18"/>
        </w:numPr>
        <w:jc w:val="both"/>
      </w:pPr>
      <w:r w:rsidRPr="00C17149">
        <w:t>Any other financial institution approved by the Prudential Regulation Authority, (this is part of the Bank of England and is responsible for the  regulation and supervision of around 1,700 banks, building societies, credit unions, insurers and major investment firms)</w:t>
      </w:r>
    </w:p>
    <w:p w:rsidR="00F23C9A" w:rsidRPr="00C17149" w:rsidP="00F23C9A">
      <w:pPr>
        <w:pStyle w:val="NoSpacing"/>
        <w:numPr>
          <w:ilvl w:val="0"/>
          <w:numId w:val="18"/>
        </w:numPr>
        <w:jc w:val="both"/>
      </w:pPr>
      <w:r w:rsidRPr="00C17149">
        <w:t>Capital market bond investors</w:t>
      </w:r>
      <w:r>
        <w:t>,</w:t>
      </w:r>
      <w:r w:rsidRPr="00C17149">
        <w:t xml:space="preserve"> either over the counter or through electronic trading platforms</w:t>
      </w:r>
    </w:p>
    <w:p w:rsidR="00F23C9A" w:rsidRPr="00707E3B" w:rsidP="00F23C9A">
      <w:pPr>
        <w:pStyle w:val="NoSpacing"/>
        <w:rPr>
          <w:highlight w:val="yellow"/>
        </w:rPr>
      </w:pPr>
    </w:p>
    <w:p w:rsidR="00F23C9A" w:rsidRPr="009C0FE9" w:rsidP="00F23C9A">
      <w:pPr>
        <w:rPr>
          <w:b/>
          <w:i/>
        </w:rPr>
      </w:pPr>
      <w:r w:rsidRPr="009C0FE9">
        <w:rPr>
          <w:b/>
          <w:i/>
        </w:rPr>
        <w:t>Borrowing instruments</w:t>
      </w:r>
    </w:p>
    <w:p w:rsidR="00F23C9A" w:rsidRPr="009C0FE9" w:rsidP="00F23C9A">
      <w:pPr>
        <w:rPr>
          <w:b/>
          <w:i/>
        </w:rPr>
      </w:pPr>
    </w:p>
    <w:p w:rsidR="00F23C9A" w:rsidRPr="009C0FE9" w:rsidP="00F23C9A">
      <w:pPr>
        <w:jc w:val="both"/>
      </w:pPr>
      <w:r w:rsidRPr="009C0FE9">
        <w:t>The council may only borrow money by use of the following instruments:</w:t>
      </w:r>
    </w:p>
    <w:p w:rsidR="00F23C9A" w:rsidRPr="009C0FE9" w:rsidP="00F23C9A">
      <w:pPr>
        <w:pStyle w:val="ListParagraph"/>
        <w:numPr>
          <w:ilvl w:val="0"/>
          <w:numId w:val="29"/>
        </w:numPr>
        <w:tabs>
          <w:tab w:val="left" w:pos="567"/>
        </w:tabs>
        <w:jc w:val="both"/>
      </w:pPr>
      <w:r w:rsidRPr="009C0FE9">
        <w:t>Bank overdrafts</w:t>
      </w:r>
    </w:p>
    <w:p w:rsidR="00F23C9A" w:rsidRPr="009C0FE9" w:rsidP="00F23C9A">
      <w:pPr>
        <w:pStyle w:val="ListParagraph"/>
        <w:numPr>
          <w:ilvl w:val="0"/>
          <w:numId w:val="29"/>
        </w:numPr>
        <w:tabs>
          <w:tab w:val="left" w:pos="567"/>
        </w:tabs>
        <w:jc w:val="both"/>
      </w:pPr>
      <w:r w:rsidRPr="009C0FE9">
        <w:t>Fixed term loans</w:t>
      </w:r>
    </w:p>
    <w:p w:rsidR="00F23C9A" w:rsidRPr="009C0FE9" w:rsidP="00F23C9A">
      <w:pPr>
        <w:pStyle w:val="ListParagraph"/>
        <w:numPr>
          <w:ilvl w:val="0"/>
          <w:numId w:val="29"/>
        </w:numPr>
        <w:tabs>
          <w:tab w:val="left" w:pos="567"/>
        </w:tabs>
        <w:jc w:val="both"/>
      </w:pPr>
      <w:r w:rsidRPr="009C0FE9">
        <w:t>Callable loans or revolving credit facilities where the council may repay at any time (with or without notice)</w:t>
      </w:r>
    </w:p>
    <w:p w:rsidR="00F23C9A" w:rsidRPr="009C0FE9" w:rsidP="00F23C9A">
      <w:pPr>
        <w:pStyle w:val="ListParagraph"/>
        <w:numPr>
          <w:ilvl w:val="0"/>
          <w:numId w:val="29"/>
        </w:numPr>
        <w:tabs>
          <w:tab w:val="left" w:pos="567"/>
        </w:tabs>
        <w:jc w:val="both"/>
      </w:pPr>
      <w:r w:rsidRPr="009C0FE9">
        <w:t>Callable loans where the lender may repay at any time, but subject to a maximum of £150m in total</w:t>
      </w:r>
    </w:p>
    <w:p w:rsidR="00F23C9A" w:rsidRPr="009C0FE9" w:rsidP="00F23C9A">
      <w:pPr>
        <w:pStyle w:val="ListParagraph"/>
        <w:numPr>
          <w:ilvl w:val="0"/>
          <w:numId w:val="29"/>
        </w:numPr>
        <w:tabs>
          <w:tab w:val="left" w:pos="567"/>
        </w:tabs>
        <w:jc w:val="both"/>
      </w:pPr>
      <w:r w:rsidRPr="009C0FE9">
        <w:t>Lender’s option borrower’s option  loans, but subject to a maximum of £100m in total</w:t>
      </w:r>
    </w:p>
    <w:p w:rsidR="00F23C9A" w:rsidRPr="009C0FE9" w:rsidP="00F23C9A">
      <w:pPr>
        <w:pStyle w:val="ListParagraph"/>
        <w:numPr>
          <w:ilvl w:val="0"/>
          <w:numId w:val="29"/>
        </w:numPr>
        <w:tabs>
          <w:tab w:val="left" w:pos="567"/>
        </w:tabs>
        <w:jc w:val="both"/>
      </w:pPr>
      <w:r w:rsidRPr="009C0FE9">
        <w:t>Bonds, notes, bills, commercial paper and other marketable instruments</w:t>
      </w:r>
    </w:p>
    <w:p w:rsidR="00F23C9A" w:rsidRPr="009C0FE9" w:rsidP="00F23C9A">
      <w:pPr>
        <w:pStyle w:val="ListParagraph"/>
        <w:numPr>
          <w:ilvl w:val="0"/>
          <w:numId w:val="29"/>
        </w:numPr>
        <w:tabs>
          <w:tab w:val="left" w:pos="567"/>
        </w:tabs>
        <w:jc w:val="both"/>
      </w:pPr>
      <w:r w:rsidRPr="009C0FE9">
        <w:t>Sale and repurchase (repo) agreements</w:t>
      </w:r>
    </w:p>
    <w:p w:rsidR="00F23C9A" w:rsidRPr="009C0FE9" w:rsidP="00F23C9A"/>
    <w:p w:rsidR="00F23C9A" w:rsidRPr="009C0FE9" w:rsidP="00F23C9A">
      <w:pPr>
        <w:jc w:val="both"/>
      </w:pPr>
      <w:r w:rsidRPr="009C0FE9">
        <w:t>Loans may be borrowed at either a fixed rate of interest, or at a variable rate linked to a market benchmark interest rate, such as the Sterling Overnight Index Average (often referred to as SONIA) which is administered by the Bank of England. The balance between fixed and variable rates will be subject to the limits on interest rate risk approved in this Treasury Management Strategy.</w:t>
      </w:r>
    </w:p>
    <w:p w:rsidR="00F23C9A" w:rsidRPr="00707E3B" w:rsidP="00F23C9A">
      <w:pPr>
        <w:rPr>
          <w:bCs/>
          <w:i/>
          <w:highlight w:val="yellow"/>
        </w:rPr>
      </w:pPr>
    </w:p>
    <w:p w:rsidR="00F23C9A" w:rsidRPr="009C0FE9" w:rsidP="00F23C9A">
      <w:pPr>
        <w:rPr>
          <w:b/>
          <w:bCs/>
          <w:i/>
        </w:rPr>
      </w:pPr>
      <w:r w:rsidRPr="009C0FE9">
        <w:rPr>
          <w:b/>
          <w:bCs/>
          <w:i/>
        </w:rPr>
        <w:t>Debt restructuring</w:t>
      </w:r>
    </w:p>
    <w:p w:rsidR="00F23C9A" w:rsidRPr="009C0FE9" w:rsidP="00F23C9A">
      <w:pPr>
        <w:rPr>
          <w:b/>
          <w:bCs/>
          <w:i/>
        </w:rPr>
      </w:pPr>
    </w:p>
    <w:p w:rsidR="00F23C9A" w:rsidRPr="009C0FE9" w:rsidP="00F23C9A">
      <w:pPr>
        <w:jc w:val="both"/>
      </w:pPr>
      <w:r w:rsidRPr="009C0FE9">
        <w:t xml:space="preserve">The council regularly monitors both its debt portfolio and market conditions to evaluate potential savings from debt restructuring. </w:t>
      </w:r>
    </w:p>
    <w:p w:rsidR="00F23C9A" w:rsidRPr="009C0FE9" w:rsidP="00F23C9A">
      <w:pPr>
        <w:jc w:val="both"/>
      </w:pPr>
    </w:p>
    <w:p w:rsidR="00F23C9A" w:rsidRPr="009C0FE9" w:rsidP="00F23C9A">
      <w:pPr>
        <w:jc w:val="both"/>
        <w:rPr>
          <w:b/>
          <w:i/>
        </w:rPr>
      </w:pPr>
      <w:r w:rsidRPr="009C0FE9">
        <w:rPr>
          <w:b/>
          <w:i/>
        </w:rPr>
        <w:t>Other borrowing</w:t>
      </w:r>
    </w:p>
    <w:p w:rsidR="00F23C9A" w:rsidRPr="009C0FE9" w:rsidP="00F23C9A">
      <w:pPr>
        <w:jc w:val="both"/>
        <w:rPr>
          <w:b/>
          <w:i/>
        </w:rPr>
      </w:pPr>
    </w:p>
    <w:p w:rsidR="00F23C9A" w:rsidRPr="009C0FE9" w:rsidP="00F23C9A">
      <w:pPr>
        <w:jc w:val="both"/>
      </w:pPr>
      <w:r w:rsidRPr="009C0FE9">
        <w:t xml:space="preserve">The council may borrow for short periods of time to cover unexpected cash flow shortages and to take deposits on the shared investment scheme. Also to provide cash flow support for the Preston, South </w:t>
      </w:r>
      <w:r w:rsidRPr="009C0FE9">
        <w:t>Ribble</w:t>
      </w:r>
      <w:r w:rsidRPr="009C0FE9">
        <w:t xml:space="preserve"> and Lancashire City Deal project. This is to cover the gap between the cost of construction of infrastructure and the payment of contributions from other organisations including the government and developers. This borrowing is temporary but will be reflected within the prudential limits</w:t>
      </w:r>
      <w:r>
        <w:t>.</w:t>
      </w:r>
      <w:r w:rsidRPr="009C0FE9">
        <w:t xml:space="preserve"> </w:t>
      </w:r>
    </w:p>
    <w:p w:rsidR="00F23C9A" w:rsidP="00F23C9A">
      <w:pPr>
        <w:jc w:val="both"/>
        <w:rPr>
          <w:highlight w:val="yellow"/>
        </w:rPr>
      </w:pPr>
    </w:p>
    <w:p w:rsidR="00F23C9A" w:rsidRPr="00D006D1" w:rsidP="00F23C9A">
      <w:pPr>
        <w:rPr>
          <w:b/>
          <w:bCs/>
          <w:sz w:val="28"/>
          <w:szCs w:val="28"/>
        </w:rPr>
      </w:pPr>
      <w:r w:rsidRPr="00D006D1">
        <w:rPr>
          <w:b/>
          <w:bCs/>
          <w:sz w:val="28"/>
          <w:szCs w:val="28"/>
        </w:rPr>
        <w:t>Policy on Borrowing in Advance of Need</w:t>
      </w:r>
    </w:p>
    <w:p w:rsidR="00F23C9A" w:rsidRPr="00D006D1" w:rsidP="00F23C9A">
      <w:pPr>
        <w:rPr>
          <w:b/>
          <w:bCs/>
        </w:rPr>
      </w:pPr>
    </w:p>
    <w:p w:rsidR="00F23C9A" w:rsidRPr="00D006D1" w:rsidP="00F23C9A">
      <w:pPr>
        <w:jc w:val="both"/>
      </w:pPr>
      <w:r w:rsidRPr="00D006D1">
        <w:t>The council will not borrow more than, or in advance of need, with the objective of profiting from the investment of the additional sums borrowed. However, borrowing in advance of need is appropriate in the following circumstances:</w:t>
      </w:r>
    </w:p>
    <w:p w:rsidR="00F23C9A" w:rsidRPr="00D006D1" w:rsidP="00F23C9A">
      <w:pPr>
        <w:pStyle w:val="ListParagraph"/>
        <w:numPr>
          <w:ilvl w:val="0"/>
          <w:numId w:val="5"/>
        </w:numPr>
        <w:jc w:val="both"/>
      </w:pPr>
      <w:r w:rsidRPr="00D006D1">
        <w:t>Where there is a defined need to finance future capital investment that will materialise in a defined timescale of two years or less; and</w:t>
      </w:r>
    </w:p>
    <w:p w:rsidR="00F23C9A" w:rsidRPr="00D006D1" w:rsidP="00F23C9A">
      <w:pPr>
        <w:pStyle w:val="ListParagraph"/>
        <w:numPr>
          <w:ilvl w:val="0"/>
          <w:numId w:val="5"/>
        </w:numPr>
        <w:jc w:val="both"/>
      </w:pPr>
      <w:r w:rsidRPr="00D006D1">
        <w:t>Where the most advantageous method of raising capital finance requires the council to raise funds in a quantity greater than would be required in any one year, or</w:t>
      </w:r>
    </w:p>
    <w:p w:rsidR="00F23C9A" w:rsidRPr="00D006D1" w:rsidP="00F23C9A">
      <w:pPr>
        <w:pStyle w:val="ListParagraph"/>
        <w:numPr>
          <w:ilvl w:val="0"/>
          <w:numId w:val="5"/>
        </w:numPr>
        <w:jc w:val="both"/>
      </w:pPr>
      <w:r w:rsidRPr="00D006D1">
        <w:t>Where in the view of the Section 151 Officer, based on external advice, the achievement of value for money would be prejudiced by delaying borrowing beyond the two year horizon.</w:t>
      </w:r>
    </w:p>
    <w:p w:rsidR="00F23C9A" w:rsidRPr="00D006D1" w:rsidP="00F23C9A">
      <w:pPr>
        <w:pStyle w:val="ListParagraph"/>
        <w:ind w:left="360"/>
        <w:jc w:val="both"/>
      </w:pPr>
    </w:p>
    <w:p w:rsidR="00F23C9A" w:rsidRPr="00D006D1" w:rsidP="00F23C9A">
      <w:pPr>
        <w:spacing w:after="240"/>
        <w:jc w:val="both"/>
      </w:pPr>
      <w:r w:rsidRPr="00D006D1">
        <w:t>Having satisfied the criteria above, any proposal to borrow in advance of need would be reviewed against the following factors:</w:t>
      </w:r>
    </w:p>
    <w:p w:rsidR="00F23C9A" w:rsidRPr="00D006D1" w:rsidP="00F23C9A">
      <w:pPr>
        <w:numPr>
          <w:ilvl w:val="0"/>
          <w:numId w:val="6"/>
        </w:numPr>
        <w:jc w:val="both"/>
      </w:pPr>
      <w:r w:rsidRPr="00D006D1">
        <w:t>Whether the ongoing revenue liabilities created, and the implications for the future plans and budgets have been considered and reflected in those plans and budgets, with the value for money of the proposal fully evaluated.</w:t>
      </w:r>
    </w:p>
    <w:p w:rsidR="00F23C9A" w:rsidRPr="00D006D1" w:rsidP="00F23C9A">
      <w:pPr>
        <w:numPr>
          <w:ilvl w:val="0"/>
          <w:numId w:val="6"/>
        </w:numPr>
      </w:pPr>
      <w:r w:rsidRPr="00D006D1">
        <w:t>The merits and demerits of alternative forms of funding.</w:t>
      </w:r>
    </w:p>
    <w:p w:rsidR="00F23C9A" w:rsidRPr="00D006D1" w:rsidP="00F23C9A">
      <w:pPr>
        <w:numPr>
          <w:ilvl w:val="0"/>
          <w:numId w:val="6"/>
        </w:numPr>
        <w:tabs>
          <w:tab w:val="left" w:pos="1418"/>
        </w:tabs>
        <w:jc w:val="both"/>
        <w:rPr>
          <w:b/>
          <w:bCs/>
        </w:rPr>
      </w:pPr>
      <w:r w:rsidRPr="00D006D1">
        <w:t>The alternative interest rate bases available, the most appropriate periods over which to fund and repayment profiles to use.</w:t>
      </w:r>
    </w:p>
    <w:p w:rsidR="00F23C9A" w:rsidRPr="00D006D1" w:rsidP="00F23C9A">
      <w:pPr>
        <w:tabs>
          <w:tab w:val="left" w:pos="1418"/>
        </w:tabs>
        <w:ind w:left="720"/>
        <w:rPr>
          <w:b/>
          <w:bCs/>
        </w:rPr>
      </w:pPr>
    </w:p>
    <w:p w:rsidR="00F23C9A" w:rsidRPr="00D006D1" w:rsidP="00F23C9A">
      <w:pPr>
        <w:spacing w:after="240"/>
        <w:jc w:val="both"/>
      </w:pPr>
      <w:r w:rsidRPr="00D006D1">
        <w:t>All decisions will be documented reflecting the assessment of these circumstances and criteria.</w:t>
      </w:r>
    </w:p>
    <w:p w:rsidR="00F23C9A" w:rsidRPr="00D006D1">
      <w:pPr>
        <w:jc w:val="both"/>
        <w:rPr>
          <w:b/>
          <w:bCs/>
          <w:sz w:val="28"/>
          <w:szCs w:val="28"/>
        </w:rPr>
      </w:pPr>
      <w:r w:rsidRPr="009F6C5A">
        <w:rPr>
          <w:b/>
          <w:bCs/>
          <w:sz w:val="28"/>
          <w:szCs w:val="28"/>
        </w:rPr>
        <w:t>Treasury Management Investments Strategy</w:t>
      </w:r>
    </w:p>
    <w:p w:rsidR="00F23C9A" w:rsidRPr="00D006D1">
      <w:pPr>
        <w:jc w:val="both"/>
        <w:rPr>
          <w:b/>
          <w:bCs/>
        </w:rPr>
      </w:pPr>
    </w:p>
    <w:p w:rsidR="00F23C9A" w:rsidRPr="00D006D1" w:rsidP="00F23C9A">
      <w:pPr>
        <w:jc w:val="both"/>
      </w:pPr>
      <w:r w:rsidRPr="00D006D1">
        <w:t xml:space="preserve">The council holds reserves and other cash items on its balance sheet which are invested. In investing these cash balances the council follows guidance issued by </w:t>
      </w:r>
      <w:r>
        <w:t xml:space="preserve">the </w:t>
      </w:r>
      <w:r w:rsidRPr="00DD011B">
        <w:t>Chartered Institute of Public Finance and Accountancy</w:t>
      </w:r>
      <w:r w:rsidRPr="00D006D1">
        <w:t xml:space="preserve"> and the Ministry of Ho</w:t>
      </w:r>
      <w:r>
        <w:t>using</w:t>
      </w:r>
      <w:r w:rsidRPr="00D006D1">
        <w:t>, Communities and Local Government.</w:t>
      </w:r>
    </w:p>
    <w:p w:rsidR="00F23C9A" w:rsidRPr="00D006D1" w:rsidP="00F23C9A">
      <w:pPr>
        <w:jc w:val="both"/>
      </w:pPr>
      <w:r w:rsidRPr="00D006D1">
        <w:t xml:space="preserve"> </w:t>
      </w:r>
    </w:p>
    <w:p w:rsidR="00F23C9A" w:rsidRPr="00D006D1" w:rsidP="00F23C9A">
      <w:pPr>
        <w:jc w:val="both"/>
      </w:pPr>
      <w:r w:rsidRPr="00D006D1">
        <w:t xml:space="preserve">The guidance requires treasury management investments </w:t>
      </w:r>
      <w:r>
        <w:t xml:space="preserve">to </w:t>
      </w:r>
      <w:r w:rsidRPr="00D006D1">
        <w:t>prioritise security, liquidity and yield in that order of importance. The council will not make any investments with low credit quality bodies, nor any that are defined as capital expenditure by legislation, such as company shares.</w:t>
      </w:r>
    </w:p>
    <w:p w:rsidR="00F23C9A" w:rsidRPr="00D006D1" w:rsidP="00F23C9A">
      <w:pPr>
        <w:jc w:val="both"/>
      </w:pPr>
    </w:p>
    <w:p w:rsidR="00F23C9A" w:rsidRPr="00D006D1" w:rsidP="00F23C9A">
      <w:pPr>
        <w:jc w:val="both"/>
        <w:rPr>
          <w:bCs/>
        </w:rPr>
      </w:pPr>
      <w:r w:rsidRPr="00D006D1">
        <w:rPr>
          <w:bCs/>
        </w:rPr>
        <w:t>The council has in recent years pursued a policy to hold as investments a sum as close as possible to the cash value of its reserves and balances. This policy will continue in 202</w:t>
      </w:r>
      <w:r>
        <w:rPr>
          <w:bCs/>
        </w:rPr>
        <w:t xml:space="preserve">1/22 </w:t>
      </w:r>
      <w:r w:rsidRPr="00D006D1">
        <w:rPr>
          <w:bCs/>
        </w:rPr>
        <w:t>but it will be regularly reviewed to ens</w:t>
      </w:r>
      <w:r>
        <w:rPr>
          <w:bCs/>
        </w:rPr>
        <w:t>ure value for money is achieved especially when bearing in mind the potential for negative interest rates.</w:t>
      </w:r>
    </w:p>
    <w:p w:rsidR="00F23C9A" w:rsidRPr="00707E3B" w:rsidP="00F23C9A">
      <w:pPr>
        <w:jc w:val="both"/>
        <w:rPr>
          <w:highlight w:val="yellow"/>
        </w:rPr>
      </w:pPr>
    </w:p>
    <w:p w:rsidR="00F23C9A" w:rsidRPr="00D006D1" w:rsidP="00F23C9A">
      <w:pPr>
        <w:jc w:val="both"/>
        <w:rPr>
          <w:b/>
          <w:i/>
        </w:rPr>
      </w:pPr>
      <w:r w:rsidRPr="00D006D1">
        <w:rPr>
          <w:b/>
          <w:i/>
        </w:rPr>
        <w:t>Business model for holding investments</w:t>
      </w:r>
    </w:p>
    <w:p w:rsidR="00F23C9A" w:rsidRPr="00D006D1" w:rsidP="00F23C9A">
      <w:pPr>
        <w:jc w:val="both"/>
        <w:rPr>
          <w:b/>
          <w:i/>
        </w:rPr>
      </w:pPr>
    </w:p>
    <w:p w:rsidR="00F23C9A" w:rsidRPr="00D006D1" w:rsidP="00F23C9A">
      <w:pPr>
        <w:spacing w:after="240"/>
        <w:jc w:val="both"/>
      </w:pPr>
      <w:r w:rsidRPr="00D006D1">
        <w:t>Under the IFRS 9 (International Financial Reporting Standard), the accounting for certain investments depends on the council’s “business model” for managing them. In general, the authority holds investments to either collect the contractual cash-flows or a mixture of holding for the contractual cash-flows and sale proceeds. Neither of these would result in changes in market value to be charge</w:t>
      </w:r>
      <w:r>
        <w:t>d</w:t>
      </w:r>
      <w:r w:rsidRPr="00D006D1">
        <w:t xml:space="preserve"> against council tax at year end. However, if investment assets are held for the purpose of trading</w:t>
      </w:r>
      <w:r>
        <w:t>,</w:t>
      </w:r>
      <w:r w:rsidRPr="00D006D1">
        <w:t xml:space="preserve"> any changes in the asset value is charged to the </w:t>
      </w:r>
      <w:r>
        <w:t>revenue account</w:t>
      </w:r>
      <w:r w:rsidRPr="00D006D1">
        <w:t>. The business model for the main treasury management investments are as follows:</w:t>
      </w:r>
    </w:p>
    <w:p w:rsidR="00F23C9A" w:rsidRPr="00D006D1" w:rsidP="00F23C9A">
      <w:pPr>
        <w:jc w:val="both"/>
      </w:pPr>
      <w:r w:rsidRPr="00D006D1">
        <w:rPr>
          <w:u w:val="single"/>
        </w:rPr>
        <w:t>Local authority investments</w:t>
      </w:r>
      <w:r w:rsidRPr="00D006D1">
        <w:t xml:space="preserve"> - these are principally investments for a fixed term which are held to maturity. In addition, the authority holds some long term bonds issued by local authorities which are also held to maturity. In both cases interest is received on </w:t>
      </w:r>
      <w:r w:rsidRPr="00D006D1">
        <w:t xml:space="preserve">agreed dates and are held for the contractual cash-flows therefore they will be valued at amortised cost.   </w:t>
      </w:r>
    </w:p>
    <w:p w:rsidR="00F23C9A" w:rsidRPr="00D006D1" w:rsidP="00F23C9A">
      <w:pPr>
        <w:jc w:val="both"/>
        <w:rPr>
          <w:sz w:val="12"/>
          <w:szCs w:val="12"/>
        </w:rPr>
      </w:pPr>
    </w:p>
    <w:p w:rsidR="00F23C9A" w:rsidRPr="00D006D1" w:rsidP="00F23C9A">
      <w:pPr>
        <w:spacing w:after="240"/>
        <w:jc w:val="both"/>
      </w:pPr>
      <w:r w:rsidRPr="00D006D1">
        <w:rPr>
          <w:u w:val="single"/>
        </w:rPr>
        <w:t>Gilts</w:t>
      </w:r>
      <w:r w:rsidRPr="00D006D1">
        <w:t xml:space="preserve"> - the holding of gilts represent a key part of the strategy for holding investments to back up the reserves and balances while maintaining a low credit risk portfolio. They are also a liquid asset and periodic sales will be incurred in reaction to market movements to enhance the overall yield of the holdings but this is not the primary aim of the holding and therefore gilts will be held at fair value through 'other comprehensive income' which means that market value changes will not be charged against council tax.    </w:t>
      </w:r>
    </w:p>
    <w:p w:rsidR="00F23C9A" w:rsidRPr="00D006D1" w:rsidP="00F23C9A">
      <w:pPr>
        <w:spacing w:after="240"/>
        <w:jc w:val="both"/>
      </w:pPr>
      <w:r w:rsidRPr="00D006D1">
        <w:rPr>
          <w:u w:val="single"/>
        </w:rPr>
        <w:t>Other bonds</w:t>
      </w:r>
      <w:r w:rsidRPr="00D006D1">
        <w:t xml:space="preserve"> - the council also holds other high credit quality corporate bonds. These are held primarily for the purposes of liquidity providing a low credit risk holding. These are bought and sold in relation to cash needs and therefore the valuation will be such that the market value changes will not be charged against council tax.       </w:t>
      </w:r>
    </w:p>
    <w:p w:rsidR="00F23C9A" w:rsidRPr="00D006D1" w:rsidP="00F23C9A">
      <w:pPr>
        <w:jc w:val="both"/>
        <w:rPr>
          <w:b/>
          <w:i/>
        </w:rPr>
      </w:pPr>
      <w:r w:rsidRPr="00D006D1">
        <w:rPr>
          <w:b/>
          <w:i/>
        </w:rPr>
        <w:t>Approved counterparties</w:t>
      </w:r>
    </w:p>
    <w:p w:rsidR="00F23C9A" w:rsidRPr="00D006D1" w:rsidP="00F23C9A">
      <w:pPr>
        <w:jc w:val="both"/>
        <w:rPr>
          <w:i/>
        </w:rPr>
      </w:pPr>
    </w:p>
    <w:p w:rsidR="00F23C9A" w:rsidRPr="00D006D1">
      <w:pPr>
        <w:jc w:val="both"/>
      </w:pPr>
      <w:r w:rsidRPr="00D006D1">
        <w:t xml:space="preserve">The counterparty credit matrix is at the heart of the council's Treasury Management Strategy and has always been conservatively constructed to protect the council against credit risk whilst allowing for efficient and prudent investment activity. </w:t>
      </w:r>
    </w:p>
    <w:p w:rsidR="00F23C9A" w:rsidRPr="00D006D1" w:rsidP="00F23C9A">
      <w:pPr>
        <w:jc w:val="both"/>
      </w:pPr>
    </w:p>
    <w:p w:rsidR="00F23C9A" w:rsidRPr="00D006D1" w:rsidP="00F23C9A">
      <w:pPr>
        <w:jc w:val="both"/>
        <w:rPr>
          <w:b/>
        </w:rPr>
      </w:pPr>
      <w:r w:rsidRPr="00D006D1">
        <w:t>However, the council does not rely solely on credit ratings in assessing counterparties. Other market information is also monitored such as information from the credit default swap market and any press releases in general</w:t>
      </w:r>
      <w:r>
        <w:t xml:space="preserve">, to </w:t>
      </w:r>
      <w:r w:rsidRPr="00D006D1">
        <w:t>ensur</w:t>
      </w:r>
      <w:r>
        <w:t>e</w:t>
      </w:r>
      <w:r w:rsidRPr="00D006D1">
        <w:t xml:space="preserve"> the council transacts with only the highest quality counterparties</w:t>
      </w:r>
      <w:r w:rsidRPr="00D006D1">
        <w:rPr>
          <w:b/>
        </w:rPr>
        <w:t xml:space="preserve">.  </w:t>
      </w:r>
    </w:p>
    <w:p w:rsidR="00F23C9A" w:rsidRPr="00D006D1" w:rsidP="00F23C9A">
      <w:pPr>
        <w:jc w:val="both"/>
        <w:rPr>
          <w:b/>
        </w:rPr>
      </w:pPr>
    </w:p>
    <w:p w:rsidR="00F23C9A" w:rsidRPr="00D006D1" w:rsidP="00F23C9A">
      <w:pPr>
        <w:jc w:val="both"/>
      </w:pPr>
      <w:r w:rsidRPr="00D006D1">
        <w:t>The council requires very high credit ratings for an organisation to be considered a suitable counterparty for investment purposes. These are set out as follows:</w:t>
      </w:r>
    </w:p>
    <w:p w:rsidR="00F23C9A" w:rsidRPr="00D006D1" w:rsidP="00F23C9A">
      <w:pPr>
        <w:jc w:val="both"/>
      </w:pPr>
    </w:p>
    <w:p w:rsidR="00F23C9A" w:rsidRPr="00D006D1" w:rsidP="00F23C9A">
      <w:pPr>
        <w:jc w:val="both"/>
      </w:pPr>
      <w:r w:rsidRPr="00D006D1">
        <w:t>For short term lending of up to one year, the short term ratings from the ratings agencies will be used and that a counterparty must have a minimum of the following:</w:t>
      </w:r>
    </w:p>
    <w:p w:rsidR="00F23C9A" w:rsidRPr="00D006D1" w:rsidP="00F23C9A">
      <w:pPr>
        <w:ind w:firstLine="720"/>
        <w:jc w:val="both"/>
      </w:pPr>
      <w:r w:rsidRPr="00D006D1">
        <w:t>Moody's</w:t>
      </w:r>
      <w:r w:rsidRPr="00D006D1">
        <w:tab/>
        <w:t>P1</w:t>
      </w:r>
    </w:p>
    <w:p w:rsidR="00F23C9A" w:rsidRPr="00D006D1" w:rsidP="00F23C9A">
      <w:pPr>
        <w:ind w:firstLine="720"/>
        <w:jc w:val="both"/>
      </w:pPr>
      <w:r w:rsidRPr="00D006D1">
        <w:t>S&amp;P</w:t>
      </w:r>
      <w:r w:rsidRPr="00D006D1">
        <w:tab/>
      </w:r>
      <w:r w:rsidRPr="00D006D1">
        <w:tab/>
        <w:t>A1</w:t>
      </w:r>
    </w:p>
    <w:p w:rsidR="00F23C9A" w:rsidRPr="00D006D1" w:rsidP="00F23C9A">
      <w:pPr>
        <w:ind w:firstLine="720"/>
        <w:jc w:val="both"/>
      </w:pPr>
      <w:r w:rsidRPr="00D006D1">
        <w:t>Fitch</w:t>
      </w:r>
      <w:r w:rsidRPr="00D006D1">
        <w:tab/>
      </w:r>
      <w:r w:rsidRPr="00D006D1">
        <w:tab/>
        <w:t>F1</w:t>
      </w:r>
    </w:p>
    <w:p w:rsidR="00F23C9A" w:rsidRPr="00D006D1" w:rsidP="00F23C9A">
      <w:pPr>
        <w:ind w:firstLine="720"/>
        <w:jc w:val="both"/>
      </w:pPr>
    </w:p>
    <w:p w:rsidR="00F23C9A" w:rsidP="00F23C9A">
      <w:pPr>
        <w:jc w:val="both"/>
      </w:pPr>
      <w:r w:rsidRPr="00D006D1">
        <w:t>Short term ratings were specifically created by the agencies for money market investors as they reflect specifically the liquidity positions of the institutions concerned.</w:t>
      </w:r>
    </w:p>
    <w:p w:rsidR="00BC19F8" w:rsidRPr="00D006D1" w:rsidP="00F23C9A">
      <w:pPr>
        <w:jc w:val="both"/>
        <w:rPr>
          <w:b/>
          <w:u w:val="single"/>
        </w:rPr>
      </w:pPr>
    </w:p>
    <w:p w:rsidR="00F23C9A" w:rsidP="00F23C9A">
      <w:pPr>
        <w:jc w:val="both"/>
      </w:pPr>
      <w:r w:rsidRPr="00D006D1">
        <w:t>For medium term investments in the form of tradeable bonds or certificates of deposit (1 to 5 years, where immediate liquidation can be demonstrated), a blended average of the ratings will be taken (averaging  across all available ratings), with a minimum of:</w:t>
      </w:r>
    </w:p>
    <w:p w:rsidR="00F23C9A" w:rsidRPr="00D006D1" w:rsidP="00F23C9A">
      <w:pPr>
        <w:ind w:left="720"/>
        <w:jc w:val="both"/>
      </w:pPr>
      <w:r w:rsidRPr="00D006D1">
        <w:t xml:space="preserve">Long term </w:t>
      </w:r>
      <w:r w:rsidRPr="00D006D1">
        <w:tab/>
        <w:t xml:space="preserve">AA3/AA-, </w:t>
      </w:r>
    </w:p>
    <w:p w:rsidR="00F23C9A" w:rsidRPr="00D006D1" w:rsidP="00F23C9A">
      <w:pPr>
        <w:ind w:firstLine="720"/>
        <w:jc w:val="both"/>
      </w:pPr>
      <w:r w:rsidRPr="00D006D1">
        <w:t xml:space="preserve">Short term </w:t>
      </w:r>
      <w:r w:rsidRPr="00D006D1">
        <w:tab/>
        <w:t xml:space="preserve">P1/F1+/A1+ </w:t>
      </w:r>
    </w:p>
    <w:p w:rsidR="00F23C9A" w:rsidRPr="00D006D1" w:rsidP="00F23C9A">
      <w:pPr>
        <w:jc w:val="both"/>
      </w:pPr>
    </w:p>
    <w:p w:rsidR="00F23C9A" w:rsidP="00F23C9A">
      <w:pPr>
        <w:jc w:val="both"/>
      </w:pPr>
      <w:r w:rsidRPr="00D006D1">
        <w:t>For longer term investments (five years and above) in the form of tradeable bonds where immediate liquidation can be demonstrated, a blended average of the ratings will be taken, with a minimum of:</w:t>
      </w:r>
    </w:p>
    <w:p w:rsidR="00F23C9A" w:rsidRPr="00D006D1" w:rsidP="00F23C9A">
      <w:pPr>
        <w:ind w:left="1418" w:hanging="698"/>
        <w:jc w:val="both"/>
      </w:pPr>
      <w:r w:rsidRPr="00D006D1">
        <w:t xml:space="preserve">Long term </w:t>
      </w:r>
      <w:r w:rsidRPr="00D006D1">
        <w:tab/>
        <w:t>AA2/AA</w:t>
      </w:r>
    </w:p>
    <w:p w:rsidR="00F23C9A" w:rsidRPr="00D006D1" w:rsidP="00F23C9A">
      <w:pPr>
        <w:ind w:left="1418" w:hanging="698"/>
        <w:jc w:val="both"/>
      </w:pPr>
      <w:r w:rsidRPr="00D006D1">
        <w:t xml:space="preserve">Short term </w:t>
      </w:r>
      <w:r w:rsidRPr="00D006D1">
        <w:tab/>
        <w:t>P1/A1+/F1+</w:t>
      </w:r>
    </w:p>
    <w:p w:rsidR="00F23C9A" w:rsidRPr="00D006D1" w:rsidP="00F23C9A">
      <w:pPr>
        <w:ind w:left="1418" w:hanging="1418"/>
        <w:jc w:val="both"/>
      </w:pPr>
    </w:p>
    <w:p w:rsidR="00F23C9A" w:rsidP="00F23C9A">
      <w:pPr>
        <w:jc w:val="both"/>
      </w:pPr>
      <w:r w:rsidRPr="00D006D1">
        <w:t>The detailed calculation methodology of the blended average will be agreed with the council's advisers and set out in the treasury management practices document.</w:t>
      </w:r>
    </w:p>
    <w:p w:rsidR="00F23C9A" w:rsidRPr="00D006D1" w:rsidP="00F23C9A">
      <w:pPr>
        <w:jc w:val="both"/>
      </w:pPr>
    </w:p>
    <w:p w:rsidR="00F23C9A" w:rsidRPr="00D006D1" w:rsidP="00F23C9A">
      <w:pPr>
        <w:spacing w:after="240"/>
        <w:jc w:val="both"/>
      </w:pPr>
      <w:r w:rsidRPr="00D006D1">
        <w:t>If the counterparty of an existing investment falls outside the policy due to a change in credit rating, full consideration will be made, taking into account all relevant information, as to whether a premature settlement of the investment should be negotiated.</w:t>
      </w:r>
    </w:p>
    <w:p w:rsidR="00F23C9A" w:rsidRPr="00D006D1" w:rsidP="00F23C9A">
      <w:pPr>
        <w:spacing w:after="240"/>
        <w:jc w:val="both"/>
      </w:pPr>
      <w:r w:rsidRPr="00D006D1">
        <w:t>The minimum sovereign rating for investment is AA- with the exception of the UK. The UK's latest rating issued by Moody's is a long term rating of Aa2 which is the third highest grade.</w:t>
      </w:r>
    </w:p>
    <w:p w:rsidR="00F23C9A" w:rsidRPr="00D006D1" w:rsidP="00F23C9A">
      <w:pPr>
        <w:jc w:val="both"/>
      </w:pPr>
      <w:r w:rsidRPr="00D006D1">
        <w:t>Although the rating still falls within the current strategy</w:t>
      </w:r>
      <w:r>
        <w:t>,</w:t>
      </w:r>
      <w:r w:rsidRPr="00D006D1">
        <w:t xml:space="preserve"> it is possible if there is an economic downturn that there will be further downgrades. This could result in investments in UK government gilts, treasury bonds and bodies guaranteed by the UK government falling outside the Treasury Management Strategy. However, even if there is a further reduction in the UK credit rating, the UK government is still deemed a safe investment. The government has never defaulted on its payments and as an ultimate solution it could prevent insolvency by printing money. Therefore it is proposed that the AA- minimum sovereign rating is not applied to the UK. </w:t>
      </w:r>
    </w:p>
    <w:p w:rsidR="00F23C9A" w:rsidRPr="00707E3B" w:rsidP="00F23C9A">
      <w:pPr>
        <w:jc w:val="both"/>
        <w:rPr>
          <w:highlight w:val="yellow"/>
        </w:rPr>
      </w:pPr>
    </w:p>
    <w:p w:rsidR="00F23C9A" w:rsidP="00F23C9A">
      <w:pPr>
        <w:jc w:val="both"/>
      </w:pPr>
      <w:r w:rsidRPr="009F6C5A">
        <w:t xml:space="preserve">The </w:t>
      </w:r>
      <w:r>
        <w:t xml:space="preserve">following </w:t>
      </w:r>
      <w:r w:rsidRPr="009F6C5A">
        <w:t>table shows the approved investment counterparties and limits:</w:t>
      </w:r>
    </w:p>
    <w:p w:rsidR="00F23C9A" w:rsidRPr="009F6C5A" w:rsidP="00F23C9A">
      <w:pPr>
        <w:jc w:val="both"/>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9"/>
        <w:gridCol w:w="1416"/>
        <w:gridCol w:w="1276"/>
        <w:gridCol w:w="1276"/>
        <w:gridCol w:w="1982"/>
      </w:tblGrid>
      <w:tr w:rsidTr="00F23C9A">
        <w:tblPrEx>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rPr>
                <w:sz w:val="20"/>
                <w:szCs w:val="20"/>
              </w:rPr>
            </w:pPr>
            <w:r w:rsidRPr="009F6C5A">
              <w:rPr>
                <w:sz w:val="20"/>
                <w:szCs w:val="20"/>
              </w:rPr>
              <w:t>Instrument</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rPr>
                <w:sz w:val="20"/>
                <w:szCs w:val="20"/>
              </w:rPr>
            </w:pPr>
            <w:r w:rsidRPr="009F6C5A">
              <w:rPr>
                <w:sz w:val="20"/>
                <w:szCs w:val="20"/>
              </w:rPr>
              <w:t>Minimum Credit Rating (blended average)</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rPr>
                <w:sz w:val="20"/>
                <w:szCs w:val="20"/>
              </w:rPr>
            </w:pPr>
            <w:r w:rsidRPr="009F6C5A">
              <w:rPr>
                <w:sz w:val="20"/>
                <w:szCs w:val="20"/>
              </w:rPr>
              <w:t>Maximum individual Investment (£m)</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rPr>
                <w:sz w:val="20"/>
                <w:szCs w:val="20"/>
              </w:rPr>
            </w:pPr>
            <w:r w:rsidRPr="009F6C5A">
              <w:rPr>
                <w:sz w:val="20"/>
                <w:szCs w:val="20"/>
              </w:rPr>
              <w:t>Maximum total Investment (£m)</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rPr>
                <w:sz w:val="20"/>
                <w:szCs w:val="20"/>
              </w:rPr>
            </w:pPr>
            <w:r w:rsidRPr="009F6C5A">
              <w:rPr>
                <w:sz w:val="20"/>
                <w:szCs w:val="20"/>
              </w:rPr>
              <w:t>Maximum Period</w:t>
            </w:r>
          </w:p>
        </w:tc>
      </w:tr>
      <w:tr w:rsidTr="00F23C9A">
        <w:tblPrEx>
          <w:tblW w:w="5107" w:type="pct"/>
          <w:tblLayout w:type="fixed"/>
          <w:tblLook w:val="0000"/>
        </w:tblPrEx>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rPr>
                <w:sz w:val="20"/>
                <w:szCs w:val="20"/>
              </w:rPr>
            </w:pPr>
            <w:r w:rsidRPr="009F6C5A">
              <w:rPr>
                <w:sz w:val="20"/>
                <w:szCs w:val="20"/>
              </w:rPr>
              <w:t>UK Government Gilts, Treasury Bills, Debt Management Office &amp; bodies guaranteed by UK Government</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rPr>
                <w:sz w:val="20"/>
                <w:szCs w:val="20"/>
              </w:rPr>
            </w:pPr>
            <w:r w:rsidRPr="009F6C5A">
              <w:rPr>
                <w:sz w:val="20"/>
                <w:szCs w:val="20"/>
              </w:rPr>
              <w:t>UK Government</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jc w:val="center"/>
              <w:rPr>
                <w:sz w:val="20"/>
                <w:szCs w:val="20"/>
              </w:rPr>
            </w:pPr>
            <w:r w:rsidRPr="009F6C5A">
              <w:rPr>
                <w:sz w:val="20"/>
                <w:szCs w:val="20"/>
              </w:rPr>
              <w:t>unlimited</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jc w:val="center"/>
              <w:rPr>
                <w:sz w:val="20"/>
                <w:szCs w:val="20"/>
              </w:rPr>
            </w:pPr>
            <w:r w:rsidRPr="009F6C5A">
              <w:rPr>
                <w:sz w:val="20"/>
                <w:szCs w:val="20"/>
              </w:rPr>
              <w:t>unlimited</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rPr>
                <w:sz w:val="20"/>
                <w:szCs w:val="20"/>
              </w:rPr>
            </w:pPr>
            <w:r w:rsidRPr="009F6C5A">
              <w:rPr>
                <w:sz w:val="20"/>
                <w:szCs w:val="20"/>
              </w:rPr>
              <w:t>No limit</w:t>
            </w:r>
          </w:p>
        </w:tc>
      </w:tr>
      <w:tr w:rsidTr="00F23C9A">
        <w:tblPrEx>
          <w:tblW w:w="5107" w:type="pct"/>
          <w:tblLayout w:type="fixed"/>
          <w:tblLook w:val="0000"/>
        </w:tblPrEx>
        <w:trPr>
          <w:trHeight w:val="708"/>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rPr>
                <w:sz w:val="20"/>
                <w:szCs w:val="20"/>
              </w:rPr>
            </w:pPr>
            <w:r w:rsidRPr="009F6C5A">
              <w:rPr>
                <w:sz w:val="20"/>
                <w:szCs w:val="20"/>
              </w:rPr>
              <w:t xml:space="preserve">Sterling Supranational Bonds &amp; Sterling Sovereign Bonds </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rPr>
                <w:sz w:val="20"/>
                <w:szCs w:val="20"/>
              </w:rPr>
            </w:pPr>
            <w:r w:rsidRPr="009F6C5A">
              <w:rPr>
                <w:sz w:val="20"/>
                <w:szCs w:val="20"/>
              </w:rPr>
              <w:t>AA-</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jc w:val="center"/>
              <w:rPr>
                <w:sz w:val="20"/>
                <w:szCs w:val="20"/>
              </w:rPr>
            </w:pPr>
            <w:r w:rsidRPr="009F6C5A">
              <w:rPr>
                <w:sz w:val="20"/>
                <w:szCs w:val="20"/>
              </w:rPr>
              <w:t>150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jc w:val="center"/>
              <w:rPr>
                <w:sz w:val="20"/>
                <w:szCs w:val="20"/>
              </w:rPr>
            </w:pPr>
            <w:r w:rsidRPr="009F6C5A">
              <w:rPr>
                <w:sz w:val="20"/>
                <w:szCs w:val="20"/>
              </w:rPr>
              <w:t>300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rPr>
                <w:sz w:val="20"/>
                <w:szCs w:val="20"/>
              </w:rPr>
            </w:pPr>
            <w:r w:rsidRPr="009F6C5A">
              <w:rPr>
                <w:sz w:val="20"/>
                <w:szCs w:val="20"/>
              </w:rPr>
              <w:t>No limit</w:t>
            </w:r>
          </w:p>
        </w:tc>
      </w:tr>
      <w:tr w:rsidTr="00F23C9A">
        <w:tblPrEx>
          <w:tblW w:w="5107" w:type="pct"/>
          <w:tblLayout w:type="fixed"/>
          <w:tblLook w:val="0000"/>
        </w:tblPrEx>
        <w:trPr>
          <w:trHeight w:val="704"/>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rPr>
                <w:sz w:val="20"/>
                <w:szCs w:val="20"/>
              </w:rPr>
            </w:pPr>
            <w:r w:rsidRPr="009F6C5A">
              <w:rPr>
                <w:sz w:val="20"/>
                <w:szCs w:val="20"/>
              </w:rPr>
              <w:t>Corporate Bonds (Short Term less than 1 year to maturity)</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rPr>
                <w:sz w:val="20"/>
                <w:szCs w:val="20"/>
              </w:rPr>
            </w:pPr>
            <w:r w:rsidRPr="009F6C5A">
              <w:rPr>
                <w:sz w:val="20"/>
                <w:szCs w:val="20"/>
              </w:rPr>
              <w:t>P1/A1/F1</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jc w:val="center"/>
              <w:rPr>
                <w:sz w:val="20"/>
                <w:szCs w:val="20"/>
              </w:rPr>
            </w:pPr>
            <w:r w:rsidRPr="009F6C5A">
              <w:rPr>
                <w:sz w:val="20"/>
                <w:szCs w:val="20"/>
              </w:rPr>
              <w:t>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jc w:val="center"/>
              <w:rPr>
                <w:sz w:val="20"/>
                <w:szCs w:val="20"/>
              </w:rPr>
            </w:pPr>
            <w:r w:rsidRPr="009F6C5A">
              <w:rPr>
                <w:sz w:val="20"/>
                <w:szCs w:val="20"/>
              </w:rPr>
              <w:t>200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rPr>
                <w:sz w:val="20"/>
                <w:szCs w:val="20"/>
              </w:rPr>
            </w:pPr>
            <w:r w:rsidRPr="009F6C5A">
              <w:rPr>
                <w:sz w:val="20"/>
                <w:szCs w:val="20"/>
              </w:rPr>
              <w:t>1 year</w:t>
            </w:r>
          </w:p>
        </w:tc>
      </w:tr>
      <w:tr w:rsidTr="00F23C9A">
        <w:tblPrEx>
          <w:tblW w:w="5107" w:type="pct"/>
          <w:tblLayout w:type="fixed"/>
          <w:tblLook w:val="0000"/>
        </w:tblPrEx>
        <w:trPr>
          <w:trHeight w:val="682"/>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rPr>
                <w:sz w:val="20"/>
                <w:szCs w:val="20"/>
              </w:rPr>
            </w:pPr>
            <w:r w:rsidRPr="009F6C5A">
              <w:rPr>
                <w:sz w:val="20"/>
                <w:szCs w:val="20"/>
              </w:rPr>
              <w:t>Corporate Bonds (Medium term up to 5 years)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rPr>
                <w:sz w:val="20"/>
                <w:szCs w:val="20"/>
              </w:rPr>
            </w:pPr>
            <w:r w:rsidRPr="009F6C5A">
              <w:rPr>
                <w:sz w:val="20"/>
                <w:szCs w:val="20"/>
              </w:rPr>
              <w:t>AA-</w:t>
            </w:r>
          </w:p>
          <w:p w:rsidR="00F23C9A" w:rsidRPr="009F6C5A" w:rsidP="00F23C9A">
            <w:pPr>
              <w:contextualSpacing/>
              <w:rPr>
                <w:sz w:val="20"/>
                <w:szCs w:val="20"/>
              </w:rPr>
            </w:pPr>
            <w:r w:rsidRPr="009F6C5A">
              <w:rPr>
                <w:sz w:val="20"/>
                <w:szCs w:val="20"/>
              </w:rPr>
              <w:t>P1/A1/F1</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jc w:val="center"/>
              <w:rPr>
                <w:sz w:val="20"/>
                <w:szCs w:val="20"/>
              </w:rPr>
            </w:pPr>
            <w:r w:rsidRPr="009F6C5A">
              <w:rPr>
                <w:sz w:val="20"/>
                <w:szCs w:val="20"/>
              </w:rPr>
              <w:t>100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jc w:val="center"/>
              <w:rPr>
                <w:sz w:val="20"/>
                <w:szCs w:val="20"/>
              </w:rPr>
            </w:pPr>
            <w:r w:rsidRPr="009F6C5A">
              <w:rPr>
                <w:sz w:val="20"/>
                <w:szCs w:val="20"/>
              </w:rPr>
              <w:t>300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rPr>
                <w:sz w:val="20"/>
                <w:szCs w:val="20"/>
              </w:rPr>
            </w:pPr>
            <w:r w:rsidRPr="009F6C5A">
              <w:rPr>
                <w:sz w:val="20"/>
                <w:szCs w:val="20"/>
              </w:rPr>
              <w:t>5 years</w:t>
            </w:r>
          </w:p>
        </w:tc>
      </w:tr>
      <w:tr w:rsidTr="00F23C9A">
        <w:tblPrEx>
          <w:tblW w:w="5107" w:type="pct"/>
          <w:tblLayout w:type="fixed"/>
          <w:tblLook w:val="0000"/>
        </w:tblPrEx>
        <w:trPr>
          <w:trHeight w:val="415"/>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rPr>
                <w:sz w:val="20"/>
                <w:szCs w:val="20"/>
              </w:rPr>
            </w:pPr>
            <w:r w:rsidRPr="009F6C5A">
              <w:rPr>
                <w:sz w:val="20"/>
                <w:szCs w:val="20"/>
              </w:rPr>
              <w:t>Corporate Bonds (Long term)</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rPr>
                <w:sz w:val="20"/>
                <w:szCs w:val="20"/>
              </w:rPr>
            </w:pPr>
            <w:r w:rsidRPr="009F6C5A">
              <w:rPr>
                <w:sz w:val="20"/>
                <w:szCs w:val="20"/>
              </w:rPr>
              <w:t>AA</w:t>
            </w:r>
          </w:p>
          <w:p w:rsidR="00F23C9A" w:rsidRPr="009F6C5A" w:rsidP="00F23C9A">
            <w:pPr>
              <w:contextualSpacing/>
              <w:rPr>
                <w:sz w:val="20"/>
                <w:szCs w:val="20"/>
              </w:rPr>
            </w:pPr>
            <w:r w:rsidRPr="009F6C5A">
              <w:rPr>
                <w:sz w:val="20"/>
                <w:szCs w:val="20"/>
              </w:rPr>
              <w:t>P1/A1+/F1+</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jc w:val="center"/>
              <w:rPr>
                <w:sz w:val="20"/>
                <w:szCs w:val="20"/>
              </w:rPr>
            </w:pPr>
            <w:r w:rsidRPr="009F6C5A">
              <w:rPr>
                <w:sz w:val="20"/>
                <w:szCs w:val="20"/>
              </w:rPr>
              <w:t>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jc w:val="center"/>
              <w:rPr>
                <w:sz w:val="20"/>
                <w:szCs w:val="20"/>
              </w:rPr>
            </w:pPr>
            <w:r w:rsidRPr="009F6C5A">
              <w:rPr>
                <w:sz w:val="20"/>
                <w:szCs w:val="20"/>
              </w:rPr>
              <w:t>200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rPr>
                <w:sz w:val="20"/>
                <w:szCs w:val="20"/>
              </w:rPr>
            </w:pPr>
            <w:r w:rsidRPr="009F6C5A">
              <w:rPr>
                <w:sz w:val="20"/>
                <w:szCs w:val="20"/>
              </w:rPr>
              <w:t>No limit</w:t>
            </w:r>
          </w:p>
        </w:tc>
      </w:tr>
      <w:tr w:rsidTr="00F23C9A">
        <w:tblPrEx>
          <w:tblW w:w="5107" w:type="pct"/>
          <w:tblLayout w:type="fixed"/>
          <w:tblLook w:val="0000"/>
        </w:tblPrEx>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rPr>
                <w:sz w:val="20"/>
                <w:szCs w:val="20"/>
              </w:rPr>
            </w:pPr>
            <w:r w:rsidRPr="009F6C5A">
              <w:rPr>
                <w:sz w:val="20"/>
                <w:szCs w:val="20"/>
              </w:rPr>
              <w:t>Government Bond Repurchase Agreements (Repo/ Reverse Repo)</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rPr>
                <w:sz w:val="20"/>
                <w:szCs w:val="20"/>
              </w:rPr>
            </w:pPr>
            <w:r w:rsidRPr="009F6C5A">
              <w:rPr>
                <w:sz w:val="20"/>
                <w:szCs w:val="20"/>
              </w:rPr>
              <w:t xml:space="preserve">UK Government </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jc w:val="center"/>
              <w:rPr>
                <w:sz w:val="20"/>
                <w:szCs w:val="20"/>
              </w:rPr>
            </w:pPr>
            <w:r w:rsidRPr="009F6C5A">
              <w:rPr>
                <w:sz w:val="20"/>
                <w:szCs w:val="20"/>
              </w:rPr>
              <w:t>500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jc w:val="center"/>
              <w:rPr>
                <w:sz w:val="20"/>
                <w:szCs w:val="20"/>
              </w:rPr>
            </w:pPr>
            <w:r w:rsidRPr="009F6C5A">
              <w:rPr>
                <w:sz w:val="20"/>
                <w:szCs w:val="20"/>
              </w:rPr>
              <w:t>500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rPr>
                <w:sz w:val="20"/>
                <w:szCs w:val="20"/>
              </w:rPr>
            </w:pPr>
            <w:r w:rsidRPr="009F6C5A">
              <w:rPr>
                <w:sz w:val="20"/>
                <w:szCs w:val="20"/>
              </w:rPr>
              <w:t>3 years</w:t>
            </w:r>
          </w:p>
        </w:tc>
      </w:tr>
      <w:tr w:rsidTr="00F23C9A">
        <w:tblPrEx>
          <w:tblW w:w="5107" w:type="pct"/>
          <w:tblLayout w:type="fixed"/>
          <w:tblLook w:val="0000"/>
        </w:tblPrEx>
        <w:trPr>
          <w:trHeight w:val="51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rPr>
                <w:sz w:val="20"/>
                <w:szCs w:val="20"/>
              </w:rPr>
            </w:pPr>
            <w:r w:rsidRPr="009F6C5A">
              <w:rPr>
                <w:sz w:val="20"/>
                <w:szCs w:val="20"/>
              </w:rPr>
              <w:t>Repurchase Agreements (Repo/ Reverse Repo)</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rPr>
                <w:sz w:val="20"/>
                <w:szCs w:val="20"/>
              </w:rPr>
            </w:pPr>
            <w:r w:rsidRPr="009F6C5A">
              <w:rPr>
                <w:sz w:val="20"/>
                <w:szCs w:val="20"/>
              </w:rPr>
              <w:t>Other AA-</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jc w:val="center"/>
              <w:rPr>
                <w:sz w:val="20"/>
                <w:szCs w:val="20"/>
              </w:rPr>
            </w:pPr>
            <w:r w:rsidRPr="009F6C5A">
              <w:rPr>
                <w:sz w:val="20"/>
                <w:szCs w:val="20"/>
              </w:rPr>
              <w:t>200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jc w:val="center"/>
              <w:rPr>
                <w:sz w:val="20"/>
                <w:szCs w:val="20"/>
              </w:rPr>
            </w:pPr>
            <w:r w:rsidRPr="009F6C5A">
              <w:rPr>
                <w:sz w:val="20"/>
                <w:szCs w:val="20"/>
              </w:rPr>
              <w:t>200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rPr>
                <w:sz w:val="20"/>
                <w:szCs w:val="20"/>
              </w:rPr>
            </w:pPr>
            <w:r w:rsidRPr="009F6C5A">
              <w:rPr>
                <w:sz w:val="20"/>
                <w:szCs w:val="20"/>
              </w:rPr>
              <w:t>1 year</w:t>
            </w:r>
          </w:p>
        </w:tc>
      </w:tr>
      <w:tr w:rsidTr="00F23C9A">
        <w:tblPrEx>
          <w:tblW w:w="5107" w:type="pct"/>
          <w:tblLayout w:type="fixed"/>
          <w:tblLook w:val="0000"/>
        </w:tblPrEx>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rPr>
                <w:sz w:val="20"/>
                <w:szCs w:val="20"/>
              </w:rPr>
            </w:pPr>
            <w:r w:rsidRPr="009F6C5A">
              <w:rPr>
                <w:sz w:val="20"/>
                <w:szCs w:val="20"/>
              </w:rPr>
              <w:t>Bond Funds with weighted average maturity maximum 3 years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rPr>
                <w:sz w:val="20"/>
                <w:szCs w:val="20"/>
              </w:rPr>
            </w:pPr>
            <w:r w:rsidRPr="009F6C5A">
              <w:rPr>
                <w:sz w:val="20"/>
                <w:szCs w:val="20"/>
              </w:rPr>
              <w:t>AA Rated weighted average maturity 3yrs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jc w:val="center"/>
              <w:rPr>
                <w:sz w:val="20"/>
                <w:szCs w:val="20"/>
              </w:rPr>
            </w:pPr>
            <w:r w:rsidRPr="009F6C5A">
              <w:rPr>
                <w:sz w:val="20"/>
                <w:szCs w:val="20"/>
              </w:rPr>
              <w:t>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jc w:val="center"/>
              <w:rPr>
                <w:sz w:val="20"/>
                <w:szCs w:val="20"/>
              </w:rPr>
            </w:pPr>
            <w:r w:rsidRPr="009F6C5A">
              <w:rPr>
                <w:sz w:val="20"/>
                <w:szCs w:val="20"/>
              </w:rPr>
              <w:t>100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rPr>
                <w:sz w:val="20"/>
                <w:szCs w:val="20"/>
              </w:rPr>
            </w:pPr>
            <w:r w:rsidRPr="009F6C5A">
              <w:rPr>
                <w:sz w:val="20"/>
                <w:szCs w:val="20"/>
              </w:rPr>
              <w:t>These investments do not have a defined maturity date</w:t>
            </w:r>
          </w:p>
        </w:tc>
      </w:tr>
      <w:tr w:rsidTr="00F23C9A">
        <w:tblPrEx>
          <w:tblW w:w="5107" w:type="pct"/>
          <w:tblLayout w:type="fixed"/>
          <w:tblLook w:val="0000"/>
        </w:tblPrEx>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rPr>
                <w:sz w:val="20"/>
                <w:szCs w:val="20"/>
              </w:rPr>
            </w:pPr>
            <w:r w:rsidRPr="009F6C5A">
              <w:rPr>
                <w:sz w:val="20"/>
                <w:szCs w:val="20"/>
              </w:rPr>
              <w:t>Bond Funds with weighted average maturity maximum 5 years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rPr>
                <w:sz w:val="20"/>
                <w:szCs w:val="20"/>
              </w:rPr>
            </w:pPr>
            <w:r w:rsidRPr="009F6C5A">
              <w:rPr>
                <w:sz w:val="20"/>
                <w:szCs w:val="20"/>
              </w:rPr>
              <w:t xml:space="preserve">AAA Rated </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jc w:val="center"/>
              <w:rPr>
                <w:sz w:val="20"/>
                <w:szCs w:val="20"/>
              </w:rPr>
            </w:pPr>
            <w:r w:rsidRPr="009F6C5A">
              <w:rPr>
                <w:sz w:val="20"/>
                <w:szCs w:val="20"/>
              </w:rPr>
              <w:t>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jc w:val="center"/>
              <w:rPr>
                <w:sz w:val="20"/>
                <w:szCs w:val="20"/>
              </w:rPr>
            </w:pPr>
            <w:r w:rsidRPr="009F6C5A">
              <w:rPr>
                <w:sz w:val="20"/>
                <w:szCs w:val="20"/>
              </w:rPr>
              <w:t>100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rPr>
                <w:sz w:val="20"/>
                <w:szCs w:val="20"/>
              </w:rPr>
            </w:pPr>
            <w:r w:rsidRPr="009F6C5A">
              <w:rPr>
                <w:sz w:val="20"/>
                <w:szCs w:val="20"/>
              </w:rPr>
              <w:t>These investments do not have a defined maturity date</w:t>
            </w:r>
          </w:p>
        </w:tc>
      </w:tr>
      <w:tr w:rsidTr="00F23C9A">
        <w:tblPrEx>
          <w:tblW w:w="5107" w:type="pct"/>
          <w:tblLayout w:type="fixed"/>
          <w:tblLook w:val="0000"/>
        </w:tblPrEx>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rPr>
                <w:sz w:val="20"/>
                <w:szCs w:val="20"/>
              </w:rPr>
            </w:pPr>
            <w:r w:rsidRPr="009F6C5A">
              <w:rPr>
                <w:sz w:val="20"/>
                <w:szCs w:val="20"/>
              </w:rPr>
              <w:t>Collateralised lending agreements backed by higher quality government or local government and supra national sterling securities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rPr>
                <w:sz w:val="20"/>
                <w:szCs w:val="20"/>
              </w:rPr>
            </w:pPr>
            <w:r w:rsidRPr="009F6C5A">
              <w:rPr>
                <w:sz w:val="20"/>
                <w:szCs w:val="20"/>
              </w:rPr>
              <w:t xml:space="preserve">AA- with cash or AA- for any collateral </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jc w:val="center"/>
              <w:rPr>
                <w:sz w:val="20"/>
                <w:szCs w:val="20"/>
              </w:rPr>
            </w:pPr>
            <w:r w:rsidRPr="009F6C5A">
              <w:rPr>
                <w:sz w:val="20"/>
                <w:szCs w:val="20"/>
              </w:rPr>
              <w:t>300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jc w:val="center"/>
              <w:rPr>
                <w:sz w:val="20"/>
                <w:szCs w:val="20"/>
              </w:rPr>
            </w:pPr>
            <w:r w:rsidRPr="009F6C5A">
              <w:rPr>
                <w:sz w:val="20"/>
                <w:szCs w:val="20"/>
              </w:rPr>
              <w:t>300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rPr>
                <w:sz w:val="20"/>
                <w:szCs w:val="20"/>
              </w:rPr>
            </w:pPr>
            <w:r w:rsidRPr="009F6C5A">
              <w:rPr>
                <w:sz w:val="20"/>
                <w:szCs w:val="20"/>
              </w:rPr>
              <w:t>25 years</w:t>
            </w:r>
          </w:p>
        </w:tc>
      </w:tr>
      <w:tr w:rsidTr="00F23C9A">
        <w:tblPrEx>
          <w:tblW w:w="5107" w:type="pct"/>
          <w:tblLayout w:type="fixed"/>
          <w:tblLook w:val="0000"/>
        </w:tblPrEx>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106E02">
            <w:pPr>
              <w:contextualSpacing/>
              <w:rPr>
                <w:sz w:val="20"/>
                <w:szCs w:val="20"/>
              </w:rPr>
            </w:pPr>
            <w:r w:rsidRPr="009F6C5A">
              <w:rPr>
                <w:sz w:val="20"/>
                <w:szCs w:val="20"/>
              </w:rPr>
              <w:t xml:space="preserve">Call accounts with UK and Overseas </w:t>
            </w:r>
            <w:r w:rsidRPr="00106E02">
              <w:rPr>
                <w:sz w:val="20"/>
                <w:szCs w:val="20"/>
              </w:rPr>
              <w:t>Banks</w:t>
            </w:r>
            <w:r w:rsidRPr="00106E02" w:rsidR="00FE4056">
              <w:rPr>
                <w:sz w:val="20"/>
                <w:szCs w:val="20"/>
              </w:rPr>
              <w:t>/</w:t>
            </w:r>
            <w:r w:rsidRPr="00106E02" w:rsidR="0070758F">
              <w:rPr>
                <w:sz w:val="20"/>
                <w:szCs w:val="20"/>
              </w:rPr>
              <w:t>Building Soc</w:t>
            </w:r>
            <w:r w:rsidRPr="00106E02" w:rsidR="00106E02">
              <w:rPr>
                <w:sz w:val="20"/>
                <w:szCs w:val="20"/>
              </w:rPr>
              <w:t>ieties</w:t>
            </w:r>
            <w:r w:rsidRPr="00106E02" w:rsidR="00FE4056">
              <w:rPr>
                <w:sz w:val="20"/>
                <w:szCs w:val="20"/>
              </w:rPr>
              <w:t xml:space="preserve"> </w:t>
            </w:r>
            <w:r w:rsidRPr="00106E02">
              <w:rPr>
                <w:sz w:val="20"/>
                <w:szCs w:val="20"/>
              </w:rPr>
              <w:t xml:space="preserve"> (</w:t>
            </w:r>
            <w:r w:rsidRPr="009F6C5A">
              <w:rPr>
                <w:sz w:val="20"/>
                <w:szCs w:val="20"/>
              </w:rPr>
              <w:t xml:space="preserve">domiciled in UK) </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rPr>
                <w:sz w:val="20"/>
                <w:szCs w:val="20"/>
              </w:rPr>
            </w:pPr>
            <w:r w:rsidRPr="009F6C5A">
              <w:rPr>
                <w:sz w:val="20"/>
                <w:szCs w:val="20"/>
              </w:rPr>
              <w:t>P1/A1/F1 Long term A</w:t>
            </w:r>
            <w:r w:rsidR="0070758F">
              <w:rPr>
                <w:sz w:val="20"/>
                <w:szCs w:val="20"/>
              </w:rPr>
              <w:t xml:space="preserve"> </w:t>
            </w:r>
            <w:r w:rsidRPr="009F6C5A">
              <w:rPr>
                <w:sz w:val="20"/>
                <w:szCs w:val="20"/>
              </w:rPr>
              <w:t xml:space="preserve"> </w:t>
            </w:r>
            <w:r w:rsidR="004E6582">
              <w:rPr>
                <w:color w:val="FF0000"/>
                <w:sz w:val="20"/>
                <w:szCs w:val="20"/>
              </w:rPr>
              <w:t>-</w:t>
            </w:r>
            <w:r w:rsidRPr="009F6C5A">
              <w:rPr>
                <w:sz w:val="20"/>
                <w:szCs w:val="20"/>
              </w:rPr>
              <w:t>Government support</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jc w:val="center"/>
              <w:rPr>
                <w:sz w:val="20"/>
                <w:szCs w:val="20"/>
              </w:rPr>
            </w:pPr>
            <w:r w:rsidRPr="009F6C5A">
              <w:rPr>
                <w:sz w:val="20"/>
                <w:szCs w:val="20"/>
              </w:rPr>
              <w:t>100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jc w:val="center"/>
              <w:rPr>
                <w:sz w:val="20"/>
                <w:szCs w:val="20"/>
              </w:rPr>
            </w:pPr>
            <w:r w:rsidRPr="009F6C5A">
              <w:rPr>
                <w:sz w:val="20"/>
                <w:szCs w:val="20"/>
              </w:rPr>
              <w:t>200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rPr>
                <w:sz w:val="20"/>
                <w:szCs w:val="20"/>
              </w:rPr>
            </w:pPr>
            <w:r w:rsidRPr="009F6C5A">
              <w:rPr>
                <w:sz w:val="20"/>
                <w:szCs w:val="20"/>
              </w:rPr>
              <w:t>Overnight in line with clearing system guarantee (currently 4 years)</w:t>
            </w:r>
          </w:p>
        </w:tc>
      </w:tr>
      <w:tr w:rsidTr="00F23C9A">
        <w:tblPrEx>
          <w:tblW w:w="5107" w:type="pct"/>
          <w:tblLayout w:type="fixed"/>
          <w:tblLook w:val="0000"/>
        </w:tblPrEx>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rPr>
                <w:sz w:val="20"/>
                <w:szCs w:val="20"/>
              </w:rPr>
            </w:pPr>
            <w:r w:rsidRPr="009F6C5A">
              <w:rPr>
                <w:sz w:val="20"/>
                <w:szCs w:val="20"/>
              </w:rPr>
              <w:t>Unsecured deposits/CDs to Banks and Building Societies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rPr>
                <w:sz w:val="20"/>
                <w:szCs w:val="20"/>
              </w:rPr>
            </w:pPr>
            <w:r w:rsidRPr="009F6C5A">
              <w:rPr>
                <w:sz w:val="20"/>
                <w:szCs w:val="20"/>
              </w:rPr>
              <w:t>AA</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jc w:val="center"/>
              <w:rPr>
                <w:sz w:val="20"/>
                <w:szCs w:val="20"/>
              </w:rPr>
            </w:pPr>
            <w:r w:rsidRPr="009F6C5A">
              <w:rPr>
                <w:sz w:val="20"/>
                <w:szCs w:val="20"/>
              </w:rPr>
              <w:t>10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jc w:val="center"/>
              <w:rPr>
                <w:sz w:val="20"/>
                <w:szCs w:val="20"/>
              </w:rPr>
            </w:pPr>
            <w:r w:rsidRPr="009F6C5A">
              <w:rPr>
                <w:sz w:val="20"/>
                <w:szCs w:val="20"/>
              </w:rPr>
              <w:t>50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rPr>
                <w:sz w:val="20"/>
                <w:szCs w:val="20"/>
              </w:rPr>
            </w:pPr>
            <w:r w:rsidRPr="009F6C5A">
              <w:rPr>
                <w:sz w:val="20"/>
                <w:szCs w:val="20"/>
              </w:rPr>
              <w:t>1 year</w:t>
            </w:r>
          </w:p>
        </w:tc>
      </w:tr>
      <w:tr w:rsidTr="00F23C9A">
        <w:tblPrEx>
          <w:tblW w:w="5107" w:type="pct"/>
          <w:tblLayout w:type="fixed"/>
          <w:tblLook w:val="0000"/>
        </w:tblPrEx>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rPr>
                <w:sz w:val="20"/>
                <w:szCs w:val="20"/>
              </w:rPr>
            </w:pPr>
            <w:r w:rsidRPr="009F6C5A">
              <w:rPr>
                <w:sz w:val="20"/>
                <w:szCs w:val="20"/>
              </w:rPr>
              <w:t>Equity, property, multi asset or credit Pooled Funds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rPr>
                <w:sz w:val="20"/>
                <w:szCs w:val="20"/>
              </w:rPr>
            </w:pPr>
            <w:r w:rsidRPr="009F6C5A">
              <w:rPr>
                <w:sz w:val="20"/>
                <w:szCs w:val="20"/>
              </w:rPr>
              <w:t>Ratings are not produced for such Funds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jc w:val="center"/>
              <w:rPr>
                <w:sz w:val="20"/>
                <w:szCs w:val="20"/>
              </w:rPr>
            </w:pPr>
            <w:r w:rsidRPr="009F6C5A">
              <w:rPr>
                <w:sz w:val="20"/>
                <w:szCs w:val="20"/>
              </w:rPr>
              <w:t>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jc w:val="center"/>
              <w:rPr>
                <w:sz w:val="20"/>
                <w:szCs w:val="20"/>
              </w:rPr>
            </w:pPr>
            <w:r w:rsidRPr="009F6C5A">
              <w:rPr>
                <w:sz w:val="20"/>
                <w:szCs w:val="20"/>
              </w:rPr>
              <w:t>100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rPr>
                <w:sz w:val="20"/>
                <w:szCs w:val="20"/>
              </w:rPr>
            </w:pPr>
            <w:r w:rsidRPr="009F6C5A">
              <w:rPr>
                <w:sz w:val="20"/>
                <w:szCs w:val="20"/>
              </w:rPr>
              <w:t>These investments do not have a defined maturity date</w:t>
            </w:r>
          </w:p>
        </w:tc>
      </w:tr>
      <w:tr w:rsidTr="00F23C9A">
        <w:tblPrEx>
          <w:tblW w:w="5107" w:type="pct"/>
          <w:tblLayout w:type="fixed"/>
          <w:tblLook w:val="0000"/>
        </w:tblPrEx>
        <w:trPr>
          <w:trHeight w:val="630"/>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rPr>
                <w:sz w:val="20"/>
                <w:szCs w:val="20"/>
              </w:rPr>
            </w:pPr>
            <w:r w:rsidRPr="009F6C5A">
              <w:rPr>
                <w:sz w:val="20"/>
                <w:szCs w:val="20"/>
              </w:rPr>
              <w:t>Local authority fixed term deposits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rPr>
                <w:sz w:val="20"/>
                <w:szCs w:val="20"/>
              </w:rPr>
            </w:pPr>
            <w:r w:rsidRPr="009F6C5A">
              <w:rPr>
                <w:sz w:val="20"/>
                <w:szCs w:val="20"/>
              </w:rPr>
              <w:t>Government</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jc w:val="center"/>
              <w:rPr>
                <w:sz w:val="20"/>
                <w:szCs w:val="20"/>
              </w:rPr>
            </w:pPr>
            <w:r w:rsidRPr="009F6C5A">
              <w:rPr>
                <w:sz w:val="20"/>
                <w:szCs w:val="20"/>
              </w:rPr>
              <w:t>30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jc w:val="center"/>
              <w:rPr>
                <w:sz w:val="20"/>
                <w:szCs w:val="20"/>
              </w:rPr>
            </w:pPr>
            <w:r w:rsidRPr="009F6C5A">
              <w:rPr>
                <w:sz w:val="20"/>
                <w:szCs w:val="20"/>
              </w:rPr>
              <w:t>450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rPr>
                <w:sz w:val="20"/>
                <w:szCs w:val="20"/>
              </w:rPr>
            </w:pPr>
            <w:r w:rsidRPr="009F6C5A">
              <w:rPr>
                <w:sz w:val="20"/>
                <w:szCs w:val="20"/>
              </w:rPr>
              <w:t>50 years</w:t>
            </w:r>
          </w:p>
        </w:tc>
      </w:tr>
      <w:tr w:rsidTr="00F23C9A">
        <w:tblPrEx>
          <w:tblW w:w="5107" w:type="pct"/>
          <w:tblLayout w:type="fixed"/>
          <w:tblLook w:val="0000"/>
        </w:tblPrEx>
        <w:trPr>
          <w:trHeight w:val="554"/>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rPr>
                <w:sz w:val="20"/>
                <w:szCs w:val="20"/>
              </w:rPr>
            </w:pPr>
            <w:r w:rsidRPr="009F6C5A">
              <w:rPr>
                <w:sz w:val="20"/>
                <w:szCs w:val="20"/>
              </w:rPr>
              <w:t>Local authority bonds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rPr>
                <w:sz w:val="20"/>
                <w:szCs w:val="20"/>
              </w:rPr>
            </w:pPr>
            <w:r w:rsidRPr="009F6C5A">
              <w:rPr>
                <w:sz w:val="20"/>
                <w:szCs w:val="20"/>
              </w:rPr>
              <w:t>Government</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jc w:val="center"/>
              <w:rPr>
                <w:sz w:val="20"/>
                <w:szCs w:val="20"/>
              </w:rPr>
            </w:pPr>
            <w:r w:rsidRPr="009F6C5A">
              <w:rPr>
                <w:sz w:val="20"/>
                <w:szCs w:val="20"/>
              </w:rPr>
              <w:t>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jc w:val="center"/>
              <w:rPr>
                <w:sz w:val="20"/>
                <w:szCs w:val="20"/>
              </w:rPr>
            </w:pPr>
            <w:r w:rsidRPr="009F6C5A">
              <w:rPr>
                <w:sz w:val="20"/>
                <w:szCs w:val="20"/>
              </w:rPr>
              <w:t>300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F23C9A" w:rsidRPr="009F6C5A" w:rsidP="00F23C9A">
            <w:pPr>
              <w:contextualSpacing/>
              <w:rPr>
                <w:sz w:val="20"/>
                <w:szCs w:val="20"/>
              </w:rPr>
            </w:pPr>
            <w:r w:rsidRPr="009F6C5A">
              <w:rPr>
                <w:sz w:val="20"/>
                <w:szCs w:val="20"/>
              </w:rPr>
              <w:t>60 years</w:t>
            </w:r>
          </w:p>
        </w:tc>
      </w:tr>
    </w:tbl>
    <w:p w:rsidR="00F23C9A" w:rsidRPr="00707E3B" w:rsidP="00F23C9A">
      <w:pPr>
        <w:jc w:val="both"/>
        <w:rPr>
          <w:highlight w:val="yellow"/>
        </w:rPr>
      </w:pPr>
    </w:p>
    <w:p w:rsidR="00F23C9A" w:rsidRPr="006928A6" w:rsidP="00F23C9A">
      <w:pPr>
        <w:spacing w:after="240"/>
        <w:jc w:val="both"/>
      </w:pPr>
      <w:r w:rsidRPr="006928A6">
        <w:t>Other than call account and operational bank accounts the council does not currently make unsecured investments with banks. This is as a result of the risk following the implementation of 'bail-in' legislation, which ensures that large investors</w:t>
      </w:r>
      <w:r>
        <w:t>,</w:t>
      </w:r>
      <w:r w:rsidRPr="006928A6">
        <w:t xml:space="preserve"> including local authorities</w:t>
      </w:r>
      <w:r>
        <w:t>,</w:t>
      </w:r>
      <w:r w:rsidRPr="006928A6">
        <w:t xml:space="preserve"> will rescue failing banks instead of taxpayers in the future. </w:t>
      </w:r>
      <w:r w:rsidRPr="006928A6" w:rsidR="00BC19F8">
        <w:t>However</w:t>
      </w:r>
      <w:r w:rsidR="00BC19F8">
        <w:t>,</w:t>
      </w:r>
      <w:r w:rsidRPr="006928A6" w:rsidR="00BC19F8">
        <w:t xml:space="preserve"> the</w:t>
      </w:r>
      <w:r w:rsidRPr="006928A6">
        <w:t xml:space="preserve"> option to undertake small scale lending, widely spread, may have some value and is therefore included in the policy.</w:t>
      </w:r>
    </w:p>
    <w:p w:rsidR="00F23C9A" w:rsidRPr="006928A6" w:rsidP="00F23C9A">
      <w:pPr>
        <w:spacing w:after="240"/>
        <w:jc w:val="both"/>
      </w:pPr>
      <w:r w:rsidRPr="006928A6">
        <w:t xml:space="preserve">Regarding investments with other local authorities, </w:t>
      </w:r>
      <w:r w:rsidRPr="006928A6">
        <w:t>Arlingclose</w:t>
      </w:r>
      <w:r w:rsidRPr="006928A6">
        <w:t xml:space="preserve"> state that they are comfortable with clients making loans to UK local authorities for periods up to two years, subject to this meeting the approved strategy. For periods longer than two years they recommend that additional due diligence is undertaken prior to a loan being made. On this basis it is proposed that the nominal value of investments to local authorities are limited as follows:                                         </w:t>
      </w:r>
    </w:p>
    <w:tbl>
      <w:tblPr>
        <w:tblStyle w:val="TableGrid"/>
        <w:tblW w:w="0" w:type="auto"/>
        <w:tblLook w:val="04A0"/>
      </w:tblPr>
      <w:tblGrid>
        <w:gridCol w:w="2253"/>
        <w:gridCol w:w="2420"/>
        <w:gridCol w:w="2410"/>
        <w:gridCol w:w="1933"/>
      </w:tblGrid>
      <w:tr w:rsidTr="00F23C9A">
        <w:tblPrEx>
          <w:tblW w:w="0" w:type="auto"/>
          <w:tblLook w:val="04A0"/>
        </w:tblPrEx>
        <w:trPr>
          <w:trHeight w:val="496"/>
        </w:trPr>
        <w:tc>
          <w:tcPr>
            <w:tcW w:w="2253" w:type="dxa"/>
          </w:tcPr>
          <w:p w:rsidR="00F23C9A" w:rsidRPr="006928A6" w:rsidP="00F23C9A">
            <w:pPr>
              <w:rPr>
                <w:sz w:val="22"/>
                <w:szCs w:val="22"/>
              </w:rPr>
            </w:pPr>
          </w:p>
        </w:tc>
        <w:tc>
          <w:tcPr>
            <w:tcW w:w="2420" w:type="dxa"/>
          </w:tcPr>
          <w:p w:rsidR="00F23C9A" w:rsidRPr="00AE23B3" w:rsidP="00F23C9A">
            <w:pPr>
              <w:jc w:val="center"/>
            </w:pPr>
            <w:r w:rsidRPr="00AE23B3">
              <w:t>Maximum individual investment</w:t>
            </w:r>
          </w:p>
        </w:tc>
        <w:tc>
          <w:tcPr>
            <w:tcW w:w="2410" w:type="dxa"/>
          </w:tcPr>
          <w:p w:rsidR="00F23C9A" w:rsidRPr="00AE23B3" w:rsidP="00F23C9A">
            <w:pPr>
              <w:jc w:val="center"/>
            </w:pPr>
            <w:r w:rsidRPr="00AE23B3">
              <w:t xml:space="preserve">Maximum total investment </w:t>
            </w:r>
          </w:p>
        </w:tc>
        <w:tc>
          <w:tcPr>
            <w:tcW w:w="1933" w:type="dxa"/>
          </w:tcPr>
          <w:p w:rsidR="00F23C9A" w:rsidRPr="00AE23B3" w:rsidP="00F23C9A">
            <w:pPr>
              <w:jc w:val="center"/>
            </w:pPr>
            <w:r w:rsidRPr="00AE23B3">
              <w:t>Maximum period</w:t>
            </w:r>
          </w:p>
        </w:tc>
      </w:tr>
      <w:tr w:rsidTr="00F23C9A">
        <w:tblPrEx>
          <w:tblW w:w="0" w:type="auto"/>
          <w:tblLook w:val="04A0"/>
        </w:tblPrEx>
        <w:tc>
          <w:tcPr>
            <w:tcW w:w="2253" w:type="dxa"/>
          </w:tcPr>
          <w:p w:rsidR="00F23C9A" w:rsidRPr="006928A6" w:rsidP="00F23C9A">
            <w:r w:rsidRPr="006928A6">
              <w:t>Up to 2 years</w:t>
            </w:r>
          </w:p>
        </w:tc>
        <w:tc>
          <w:tcPr>
            <w:tcW w:w="2420" w:type="dxa"/>
          </w:tcPr>
          <w:p w:rsidR="00F23C9A" w:rsidRPr="006928A6" w:rsidP="00F23C9A">
            <w:pPr>
              <w:jc w:val="right"/>
            </w:pPr>
            <w:r w:rsidRPr="006928A6">
              <w:t>£30m</w:t>
            </w:r>
          </w:p>
        </w:tc>
        <w:tc>
          <w:tcPr>
            <w:tcW w:w="2410" w:type="dxa"/>
          </w:tcPr>
          <w:p w:rsidR="00F23C9A" w:rsidRPr="006928A6" w:rsidP="00F23C9A">
            <w:pPr>
              <w:jc w:val="right"/>
            </w:pPr>
            <w:r w:rsidRPr="006928A6">
              <w:t>£450m</w:t>
            </w:r>
          </w:p>
        </w:tc>
        <w:tc>
          <w:tcPr>
            <w:tcW w:w="1933" w:type="dxa"/>
          </w:tcPr>
          <w:p w:rsidR="00F23C9A" w:rsidRPr="006928A6" w:rsidP="00F23C9A">
            <w:pPr>
              <w:jc w:val="right"/>
            </w:pPr>
            <w:r w:rsidRPr="006928A6">
              <w:t>2 years</w:t>
            </w:r>
          </w:p>
        </w:tc>
      </w:tr>
      <w:tr w:rsidTr="00F23C9A">
        <w:tblPrEx>
          <w:tblW w:w="0" w:type="auto"/>
          <w:tblLook w:val="04A0"/>
        </w:tblPrEx>
        <w:tc>
          <w:tcPr>
            <w:tcW w:w="2253" w:type="dxa"/>
          </w:tcPr>
          <w:p w:rsidR="00F23C9A" w:rsidRPr="006928A6" w:rsidP="00F23C9A">
            <w:r w:rsidRPr="006928A6">
              <w:t>Over 2-10 years</w:t>
            </w:r>
          </w:p>
        </w:tc>
        <w:tc>
          <w:tcPr>
            <w:tcW w:w="2420" w:type="dxa"/>
          </w:tcPr>
          <w:p w:rsidR="00F23C9A" w:rsidRPr="006928A6" w:rsidP="00F23C9A">
            <w:pPr>
              <w:jc w:val="right"/>
            </w:pPr>
            <w:r w:rsidRPr="006928A6">
              <w:t>£25m</w:t>
            </w:r>
          </w:p>
        </w:tc>
        <w:tc>
          <w:tcPr>
            <w:tcW w:w="2410" w:type="dxa"/>
          </w:tcPr>
          <w:p w:rsidR="00F23C9A" w:rsidRPr="006928A6" w:rsidP="00F23C9A">
            <w:pPr>
              <w:jc w:val="right"/>
            </w:pPr>
            <w:r w:rsidRPr="006928A6">
              <w:t>£300m</w:t>
            </w:r>
          </w:p>
        </w:tc>
        <w:tc>
          <w:tcPr>
            <w:tcW w:w="1933" w:type="dxa"/>
          </w:tcPr>
          <w:p w:rsidR="00F23C9A" w:rsidRPr="006928A6" w:rsidP="00F23C9A">
            <w:pPr>
              <w:jc w:val="right"/>
            </w:pPr>
            <w:r w:rsidRPr="006928A6">
              <w:t>10 years</w:t>
            </w:r>
          </w:p>
        </w:tc>
      </w:tr>
      <w:tr w:rsidTr="00F23C9A">
        <w:tblPrEx>
          <w:tblW w:w="0" w:type="auto"/>
          <w:tblLook w:val="04A0"/>
        </w:tblPrEx>
        <w:tc>
          <w:tcPr>
            <w:tcW w:w="2253" w:type="dxa"/>
          </w:tcPr>
          <w:p w:rsidR="00F23C9A" w:rsidRPr="006928A6" w:rsidP="00F23C9A">
            <w:r w:rsidRPr="006928A6">
              <w:t>Over 10 years</w:t>
            </w:r>
          </w:p>
        </w:tc>
        <w:tc>
          <w:tcPr>
            <w:tcW w:w="2420" w:type="dxa"/>
          </w:tcPr>
          <w:p w:rsidR="00F23C9A" w:rsidRPr="006928A6" w:rsidP="00F23C9A">
            <w:pPr>
              <w:jc w:val="right"/>
            </w:pPr>
            <w:r w:rsidRPr="006928A6">
              <w:t>£25m</w:t>
            </w:r>
          </w:p>
        </w:tc>
        <w:tc>
          <w:tcPr>
            <w:tcW w:w="2410" w:type="dxa"/>
          </w:tcPr>
          <w:p w:rsidR="00F23C9A" w:rsidRPr="006928A6" w:rsidP="00F23C9A">
            <w:pPr>
              <w:jc w:val="right"/>
            </w:pPr>
            <w:r w:rsidRPr="006928A6">
              <w:t>£100m</w:t>
            </w:r>
          </w:p>
        </w:tc>
        <w:tc>
          <w:tcPr>
            <w:tcW w:w="1933" w:type="dxa"/>
          </w:tcPr>
          <w:p w:rsidR="00F23C9A" w:rsidRPr="006928A6" w:rsidP="00F23C9A">
            <w:pPr>
              <w:jc w:val="right"/>
            </w:pPr>
            <w:r w:rsidRPr="006928A6">
              <w:t>50 years</w:t>
            </w:r>
          </w:p>
        </w:tc>
      </w:tr>
    </w:tbl>
    <w:p w:rsidR="00BC19F8" w:rsidP="00F23C9A">
      <w:pPr>
        <w:jc w:val="both"/>
      </w:pPr>
    </w:p>
    <w:p w:rsidR="00F23C9A" w:rsidRPr="006928A6" w:rsidP="00F23C9A">
      <w:pPr>
        <w:jc w:val="both"/>
      </w:pPr>
      <w:r w:rsidRPr="006928A6">
        <w:t>In addition to fixed term deposits</w:t>
      </w:r>
      <w:r>
        <w:t xml:space="preserve">, </w:t>
      </w:r>
      <w:r w:rsidRPr="006928A6">
        <w:t xml:space="preserve">local authorities </w:t>
      </w:r>
      <w:r>
        <w:t xml:space="preserve">occasionally </w:t>
      </w:r>
      <w:r w:rsidRPr="006928A6">
        <w:t>issue bonds. The investment policy allows the county council to purchase such bonds as an investment which are generally held to maturity. The holding of the bonds is considered to be outside the limits expressed above but for the purpose of risk management</w:t>
      </w:r>
      <w:r>
        <w:t>,</w:t>
      </w:r>
      <w:r w:rsidRPr="006928A6">
        <w:t xml:space="preserve"> the total of the bonds plus fixed term deposits with any one authority should not exceed £50m. </w:t>
      </w:r>
    </w:p>
    <w:p w:rsidR="00F23C9A" w:rsidRPr="006928A6" w:rsidP="00F23C9A">
      <w:pPr>
        <w:jc w:val="both"/>
      </w:pPr>
    </w:p>
    <w:p w:rsidR="00F23C9A" w:rsidRPr="006928A6" w:rsidP="00F23C9A">
      <w:pPr>
        <w:jc w:val="both"/>
      </w:pPr>
      <w:r w:rsidRPr="006928A6">
        <w:t xml:space="preserve">The council's day to day transactional bank, National Westminster, lies outside the investment credit matrix but overnight deposits may be placed with them. In practice the balances are considered on a daily basis. If there was a failure of National Westminster it is anticipated that they would be subject to bank bail-in rather than made insolvent. This increases the chance of the council maintaining operational continuity but any monies in the bank would be at risk of at least a partial loss.  </w:t>
      </w:r>
    </w:p>
    <w:p w:rsidR="00F23C9A" w:rsidRPr="006928A6" w:rsidP="00F23C9A">
      <w:pPr>
        <w:jc w:val="both"/>
      </w:pPr>
    </w:p>
    <w:p w:rsidR="00F23C9A" w:rsidRPr="007F2E26" w:rsidP="00F23C9A">
      <w:pPr>
        <w:spacing w:after="200" w:line="276" w:lineRule="auto"/>
        <w:rPr>
          <w:b/>
          <w:i/>
        </w:rPr>
      </w:pPr>
      <w:r w:rsidRPr="007F2E26">
        <w:rPr>
          <w:b/>
          <w:i/>
        </w:rPr>
        <w:t>Long term investments</w:t>
      </w:r>
    </w:p>
    <w:p w:rsidR="00F23C9A" w:rsidRPr="007F2E26" w:rsidP="00F23C9A">
      <w:pPr>
        <w:jc w:val="both"/>
      </w:pPr>
      <w:r w:rsidRPr="007F2E26">
        <w:t xml:space="preserve">The Treasury </w:t>
      </w:r>
      <w:r>
        <w:t>M</w:t>
      </w:r>
      <w:r w:rsidRPr="007F2E26">
        <w:t xml:space="preserve">anagement </w:t>
      </w:r>
      <w:r>
        <w:t>C</w:t>
      </w:r>
      <w:r w:rsidRPr="007F2E26">
        <w:t xml:space="preserve">ode requires </w:t>
      </w:r>
      <w:r>
        <w:t xml:space="preserve">that </w:t>
      </w:r>
      <w:r w:rsidRPr="007F2E26">
        <w:t>where an authority invests, or plans to invest, for periods longer than one year</w:t>
      </w:r>
      <w:r>
        <w:t>,</w:t>
      </w:r>
      <w:r w:rsidRPr="007F2E26">
        <w:t xml:space="preserve"> an upper limit for investments maturing in excess of one year is set. The authority does have fixed term deposits which are for longer than a year and the bonds usually purchased have a maturity date which is in excess of one year and these could be held to maturity. </w:t>
      </w:r>
    </w:p>
    <w:p w:rsidR="00F23C9A" w:rsidRPr="007F2E26" w:rsidP="00F23C9A">
      <w:pPr>
        <w:jc w:val="both"/>
      </w:pPr>
    </w:p>
    <w:p w:rsidR="00F23C9A" w:rsidRPr="007F2E26" w:rsidP="00F23C9A">
      <w:pPr>
        <w:jc w:val="both"/>
      </w:pPr>
      <w:r w:rsidRPr="007F2E26">
        <w:t>However, the investments are held in government and supranational securities, which are highly liquid.  In addition the council holds a secondary liquidity investment book of very high quality covered floating rate notes which are typically issued for a three to seven year term. Because these instruments have their rates re-fixed, at current market rates every three months, their price shows a very low sensitivity to changes in market rates</w:t>
      </w:r>
      <w:r>
        <w:t xml:space="preserve">. This means </w:t>
      </w:r>
      <w:r w:rsidRPr="007F2E26">
        <w:t>that although they are classified as long term instruments, in practice they operate as fixed instruments with a maximum of three months to maturity and can be liquidated with one or two days' notice. Therefore the 'long term investments' total contains instruments which operate with a short term horizon and which are central to achieving the council's security and liquidity objectives.</w:t>
      </w:r>
    </w:p>
    <w:p w:rsidR="00F23C9A" w:rsidRPr="007F2E26" w:rsidP="00F23C9A">
      <w:pPr>
        <w:jc w:val="both"/>
      </w:pPr>
    </w:p>
    <w:p w:rsidR="00F23C9A" w:rsidRPr="007F2E26" w:rsidP="00F23C9A">
      <w:pPr>
        <w:jc w:val="both"/>
      </w:pPr>
      <w:r w:rsidRPr="007F2E26">
        <w:t>As a result of the nature of the assets held it is considered appropriate to have a high limit which is related to the forecast of reserves and balances held (currently forecast to be £550m at 31 March 2022</w:t>
      </w:r>
      <w:r>
        <w:t>.</w:t>
      </w:r>
      <w:r w:rsidRPr="007F2E26">
        <w:t xml:space="preserve"> However, it is anticipated that during the year cash-flow will be positive requiring a higher level of investments to be held. In particular, if a borrowing is taken before the debt it is replacing matures or the capital expenditure </w:t>
      </w:r>
      <w:r>
        <w:t xml:space="preserve">is </w:t>
      </w:r>
      <w:r w:rsidRPr="007F2E26" w:rsidR="00BC19F8">
        <w:t xml:space="preserve">incurred </w:t>
      </w:r>
      <w:r w:rsidR="00BC19F8">
        <w:t>then</w:t>
      </w:r>
      <w:r>
        <w:t xml:space="preserve"> there will be a temporary increase </w:t>
      </w:r>
      <w:r w:rsidR="00BC19F8">
        <w:t xml:space="preserve">in </w:t>
      </w:r>
      <w:r w:rsidRPr="007F2E26" w:rsidR="00BC19F8">
        <w:t>cash</w:t>
      </w:r>
      <w:r w:rsidRPr="007F2E26">
        <w:t xml:space="preserve"> </w:t>
      </w:r>
      <w:r>
        <w:t xml:space="preserve">which </w:t>
      </w:r>
      <w:r w:rsidRPr="007F2E26">
        <w:t xml:space="preserve">will be invested. Therefore the proposed limit for 2021/22 is £800m. </w:t>
      </w:r>
    </w:p>
    <w:p w:rsidR="00F23C9A" w:rsidRPr="007F2E26">
      <w:pPr>
        <w:spacing w:line="276" w:lineRule="auto"/>
        <w:jc w:val="both"/>
      </w:pPr>
    </w:p>
    <w:p w:rsidR="00F23C9A">
      <w:pPr>
        <w:jc w:val="both"/>
      </w:pPr>
      <w:r w:rsidRPr="007F2E26">
        <w:t>In recent times, a wider range of investment instruments within the area of sterling deposits have been developed by financial institutions. All of these afford similar security of capital to basic sterling deposits but they also offer the possibility, although never of course the certainty, of increased returns. The Director of Finance will, in liaison with the council’s external advisers, consider the benefits and drawbacks of these instruments and whether any of them are appropriate for the council. Decisions on whether to utilise such instruments will be taken after an assessment of whether their use achieves the council's treasury management objectives.</w:t>
      </w:r>
    </w:p>
    <w:p w:rsidR="00BC19F8" w:rsidRPr="007F2E26">
      <w:pPr>
        <w:jc w:val="both"/>
      </w:pPr>
    </w:p>
    <w:p w:rsidR="00F23C9A" w:rsidRPr="009F6C5A" w:rsidP="00F23C9A">
      <w:pPr>
        <w:spacing w:after="240"/>
        <w:rPr>
          <w:b/>
          <w:bCs/>
          <w:sz w:val="28"/>
          <w:szCs w:val="28"/>
        </w:rPr>
      </w:pPr>
      <w:r w:rsidRPr="009F6C5A">
        <w:rPr>
          <w:b/>
          <w:bCs/>
          <w:sz w:val="28"/>
          <w:szCs w:val="28"/>
        </w:rPr>
        <w:t>Policy on the Use of Financial Derivatives</w:t>
      </w:r>
    </w:p>
    <w:p w:rsidR="00F23C9A" w:rsidRPr="009F6C5A" w:rsidP="00F23C9A">
      <w:pPr>
        <w:jc w:val="both"/>
      </w:pPr>
      <w:r w:rsidRPr="009F6C5A">
        <w:t>The council will only use financial derivatives (such as swaps, forwards, futures and options) on a standalone basis, where it can clearly be demonstrated that</w:t>
      </w:r>
      <w:r>
        <w:t>,</w:t>
      </w:r>
      <w:r w:rsidRPr="009F6C5A">
        <w:t xml:space="preserve"> as part of the prudent management of the council's financial affairs</w:t>
      </w:r>
      <w:r>
        <w:t>,</w:t>
      </w:r>
      <w:r w:rsidRPr="009F6C5A">
        <w:t xml:space="preserve"> the use of financial derivatives will have the effect of reducing the level of financial risks that the  council is exposed to. Additional risks presented, such as credit exposure to derivative counterparties, will be taken into account when determining the overall level of risk.  Many embedded derivatives are already used by local authorities across England and Wales including Lancashire, although unlike the government, commercial sector and other public service areas</w:t>
      </w:r>
      <w:r>
        <w:t>,</w:t>
      </w:r>
      <w:r w:rsidRPr="009F6C5A">
        <w:t xml:space="preserve"> stand-alone derivatives have not generally been used.</w:t>
      </w:r>
    </w:p>
    <w:p w:rsidR="00F23C9A" w:rsidRPr="009F6C5A" w:rsidP="00F23C9A">
      <w:pPr>
        <w:pStyle w:val="ListParagraph"/>
        <w:ind w:left="0"/>
        <w:jc w:val="both"/>
      </w:pPr>
    </w:p>
    <w:p w:rsidR="00F23C9A" w:rsidRPr="009F6C5A" w:rsidP="00F23C9A">
      <w:pPr>
        <w:jc w:val="both"/>
      </w:pPr>
      <w:r w:rsidRPr="009F6C5A">
        <w:t>A derivative is a financial instrument with three main features:</w:t>
      </w:r>
    </w:p>
    <w:p w:rsidR="00F23C9A" w:rsidRPr="009F6C5A" w:rsidP="00F23C9A">
      <w:pPr>
        <w:jc w:val="both"/>
      </w:pPr>
    </w:p>
    <w:p w:rsidR="00F23C9A" w:rsidRPr="009F6C5A" w:rsidP="00F23C9A">
      <w:pPr>
        <w:pStyle w:val="ListParagraph"/>
        <w:numPr>
          <w:ilvl w:val="0"/>
          <w:numId w:val="12"/>
        </w:numPr>
        <w:ind w:left="426" w:hanging="225"/>
        <w:jc w:val="both"/>
      </w:pPr>
      <w:r w:rsidRPr="009F6C5A">
        <w:t xml:space="preserve">The value changes in response to an underlying variable. </w:t>
      </w:r>
    </w:p>
    <w:p w:rsidR="00F23C9A" w:rsidRPr="009F6C5A" w:rsidP="00F23C9A">
      <w:pPr>
        <w:pStyle w:val="ListParagraph"/>
        <w:numPr>
          <w:ilvl w:val="0"/>
          <w:numId w:val="12"/>
        </w:numPr>
        <w:ind w:left="426" w:hanging="225"/>
        <w:jc w:val="both"/>
      </w:pPr>
      <w:r w:rsidRPr="009F6C5A">
        <w:t>The transaction requires no initial investment, or an initial net investment smaller than would be required for other types of contract with a similar expected response to market changes.</w:t>
      </w:r>
    </w:p>
    <w:p w:rsidR="00F23C9A" w:rsidRPr="009F6C5A" w:rsidP="00F23C9A">
      <w:pPr>
        <w:pStyle w:val="ListParagraph"/>
        <w:numPr>
          <w:ilvl w:val="0"/>
          <w:numId w:val="12"/>
        </w:numPr>
        <w:ind w:left="426" w:hanging="225"/>
        <w:jc w:val="both"/>
      </w:pPr>
      <w:r w:rsidRPr="009F6C5A">
        <w:t>The contract is settled at a predetermined future date.</w:t>
      </w:r>
    </w:p>
    <w:p w:rsidR="00F23C9A" w:rsidRPr="009F6C5A" w:rsidP="00F23C9A">
      <w:pPr>
        <w:pStyle w:val="ListParagraph"/>
        <w:ind w:left="1500"/>
        <w:jc w:val="both"/>
      </w:pPr>
    </w:p>
    <w:p w:rsidR="00F23C9A" w:rsidRPr="009F6C5A" w:rsidP="00F23C9A">
      <w:pPr>
        <w:pStyle w:val="ListParagraph"/>
        <w:ind w:left="0"/>
        <w:jc w:val="both"/>
      </w:pPr>
      <w:r w:rsidRPr="009F6C5A">
        <w:t>The underlying variable represents an existing external risk for which the hedge is required. Examples are a specified interest rate, a commodity price, a credit rating, a foreign exchange rate or any other variable</w:t>
      </w:r>
      <w:r>
        <w:t>. H</w:t>
      </w:r>
      <w:r w:rsidRPr="009F6C5A">
        <w:t xml:space="preserve">owever as the council's treasury activity is not directly exposed to all of these risks, for example foreign exchange or commodity prices, the council’s use of derivatives would be restricted to the management and hedging of interest and inflation rate risk only. </w:t>
      </w:r>
    </w:p>
    <w:p w:rsidR="00F23C9A" w:rsidRPr="009F6C5A" w:rsidP="00F23C9A">
      <w:pPr>
        <w:pStyle w:val="ListParagraph"/>
        <w:ind w:left="0"/>
        <w:jc w:val="both"/>
      </w:pPr>
    </w:p>
    <w:p w:rsidR="00F23C9A" w:rsidP="00F23C9A">
      <w:pPr>
        <w:pStyle w:val="ListParagraph"/>
        <w:ind w:left="0"/>
        <w:jc w:val="both"/>
      </w:pPr>
      <w:r w:rsidRPr="009F6C5A">
        <w:t>The embedded and standalone derivatives which can be used by the council to manage interest rate risk are summarised as follows:</w:t>
      </w:r>
    </w:p>
    <w:p w:rsidR="00F23C9A" w:rsidP="00F23C9A">
      <w:pPr>
        <w:pStyle w:val="ListParagraph"/>
        <w:ind w:left="0"/>
        <w:jc w:val="both"/>
      </w:pPr>
    </w:p>
    <w:tbl>
      <w:tblPr>
        <w:tblStyle w:val="TableGrid"/>
        <w:tblW w:w="9053" w:type="dxa"/>
        <w:tblLayout w:type="fixed"/>
        <w:tblLook w:val="04A0"/>
      </w:tblPr>
      <w:tblGrid>
        <w:gridCol w:w="1413"/>
        <w:gridCol w:w="2269"/>
        <w:gridCol w:w="2930"/>
        <w:gridCol w:w="2441"/>
      </w:tblGrid>
      <w:tr w:rsidTr="00AE23B3">
        <w:tblPrEx>
          <w:tblW w:w="9053" w:type="dxa"/>
          <w:tblLayout w:type="fixed"/>
          <w:tblLook w:val="04A0"/>
        </w:tblPrEx>
        <w:tc>
          <w:tcPr>
            <w:tcW w:w="1413" w:type="dxa"/>
          </w:tcPr>
          <w:p w:rsidR="00F23C9A" w:rsidRPr="00AE23B3" w:rsidP="00F23C9A">
            <w:pPr>
              <w:pStyle w:val="ListParagraph"/>
              <w:ind w:left="0"/>
              <w:jc w:val="both"/>
              <w:rPr>
                <w:b/>
              </w:rPr>
            </w:pPr>
            <w:r w:rsidRPr="00AE23B3">
              <w:rPr>
                <w:b/>
              </w:rPr>
              <w:t>Class</w:t>
            </w:r>
          </w:p>
        </w:tc>
        <w:tc>
          <w:tcPr>
            <w:tcW w:w="2269" w:type="dxa"/>
          </w:tcPr>
          <w:p w:rsidR="00F23C9A" w:rsidRPr="00AE23B3" w:rsidP="00F23C9A">
            <w:pPr>
              <w:pStyle w:val="ListParagraph"/>
              <w:ind w:left="0"/>
              <w:jc w:val="both"/>
              <w:rPr>
                <w:b/>
              </w:rPr>
            </w:pPr>
            <w:r w:rsidRPr="00AE23B3">
              <w:rPr>
                <w:b/>
              </w:rPr>
              <w:t>Use</w:t>
            </w:r>
          </w:p>
        </w:tc>
        <w:tc>
          <w:tcPr>
            <w:tcW w:w="2930" w:type="dxa"/>
          </w:tcPr>
          <w:p w:rsidR="00F23C9A" w:rsidRPr="00AE23B3" w:rsidP="00F23C9A">
            <w:pPr>
              <w:pStyle w:val="ListParagraph"/>
              <w:ind w:left="0"/>
              <w:jc w:val="both"/>
              <w:rPr>
                <w:b/>
              </w:rPr>
            </w:pPr>
            <w:r w:rsidRPr="00AE23B3">
              <w:rPr>
                <w:b/>
              </w:rPr>
              <w:t>Standalone</w:t>
            </w:r>
          </w:p>
        </w:tc>
        <w:tc>
          <w:tcPr>
            <w:tcW w:w="2441" w:type="dxa"/>
          </w:tcPr>
          <w:p w:rsidR="00F23C9A" w:rsidRPr="00AE23B3" w:rsidP="00F23C9A">
            <w:pPr>
              <w:pStyle w:val="ListParagraph"/>
              <w:ind w:left="0"/>
              <w:jc w:val="both"/>
              <w:rPr>
                <w:b/>
              </w:rPr>
            </w:pPr>
            <w:r w:rsidRPr="00AE23B3">
              <w:rPr>
                <w:b/>
              </w:rPr>
              <w:t>Embedded</w:t>
            </w:r>
          </w:p>
        </w:tc>
      </w:tr>
      <w:tr w:rsidTr="00AE23B3">
        <w:tblPrEx>
          <w:tblW w:w="9053" w:type="dxa"/>
          <w:tblLayout w:type="fixed"/>
          <w:tblLook w:val="04A0"/>
        </w:tblPrEx>
        <w:tc>
          <w:tcPr>
            <w:tcW w:w="1413" w:type="dxa"/>
          </w:tcPr>
          <w:p w:rsidR="00F23C9A" w:rsidRPr="00AE23B3" w:rsidP="00F23C9A">
            <w:pPr>
              <w:pStyle w:val="ListParagraph"/>
              <w:ind w:left="0"/>
              <w:jc w:val="both"/>
            </w:pPr>
            <w:r w:rsidRPr="00AE23B3">
              <w:t>Forwards</w:t>
            </w:r>
          </w:p>
        </w:tc>
        <w:tc>
          <w:tcPr>
            <w:tcW w:w="2269" w:type="dxa"/>
          </w:tcPr>
          <w:p w:rsidR="00F23C9A" w:rsidRPr="00AE23B3" w:rsidP="00F23C9A">
            <w:pPr>
              <w:pStyle w:val="ListParagraph"/>
              <w:ind w:left="0"/>
            </w:pPr>
            <w:r w:rsidRPr="00AE23B3">
              <w:t>To fix an interest or inflation rate for a single period in the future</w:t>
            </w:r>
          </w:p>
        </w:tc>
        <w:tc>
          <w:tcPr>
            <w:tcW w:w="2930" w:type="dxa"/>
          </w:tcPr>
          <w:p w:rsidR="00F23C9A" w:rsidRPr="00AE23B3" w:rsidP="00F23C9A">
            <w:pPr>
              <w:pStyle w:val="ListParagraph"/>
              <w:ind w:left="0"/>
            </w:pPr>
            <w:r w:rsidRPr="00AE23B3">
              <w:t>Forward Rate Agreement, gilt lock, interest rate  or gilt futures</w:t>
            </w:r>
          </w:p>
        </w:tc>
        <w:tc>
          <w:tcPr>
            <w:tcW w:w="2441" w:type="dxa"/>
          </w:tcPr>
          <w:p w:rsidR="00F23C9A" w:rsidRPr="00AE23B3" w:rsidP="00F23C9A">
            <w:pPr>
              <w:pStyle w:val="ListParagraph"/>
              <w:ind w:left="0"/>
            </w:pPr>
            <w:r w:rsidRPr="00AE23B3">
              <w:t>Forward Deal</w:t>
            </w:r>
          </w:p>
        </w:tc>
      </w:tr>
      <w:tr w:rsidTr="00AE23B3">
        <w:tblPrEx>
          <w:tblW w:w="9053" w:type="dxa"/>
          <w:tblLayout w:type="fixed"/>
          <w:tblLook w:val="04A0"/>
        </w:tblPrEx>
        <w:tc>
          <w:tcPr>
            <w:tcW w:w="1413" w:type="dxa"/>
          </w:tcPr>
          <w:p w:rsidR="00F23C9A" w:rsidRPr="00AE23B3" w:rsidP="00F23C9A">
            <w:pPr>
              <w:pStyle w:val="ListParagraph"/>
              <w:ind w:left="0"/>
              <w:jc w:val="both"/>
            </w:pPr>
            <w:r w:rsidRPr="00AE23B3">
              <w:t>Swaps</w:t>
            </w:r>
          </w:p>
        </w:tc>
        <w:tc>
          <w:tcPr>
            <w:tcW w:w="2269" w:type="dxa"/>
          </w:tcPr>
          <w:p w:rsidR="00F23C9A" w:rsidRPr="00AE23B3" w:rsidP="00F23C9A">
            <w:pPr>
              <w:pStyle w:val="ListParagraph"/>
              <w:ind w:left="0"/>
            </w:pPr>
            <w:r w:rsidRPr="00AE23B3">
              <w:t xml:space="preserve">To exchange interest  or inflation rate exposures </w:t>
            </w:r>
          </w:p>
          <w:p w:rsidR="00F23C9A" w:rsidRPr="00AE23B3" w:rsidP="00F23C9A">
            <w:pPr>
              <w:pStyle w:val="ListParagraph"/>
              <w:ind w:left="0"/>
            </w:pPr>
            <w:r w:rsidRPr="00AE23B3">
              <w:t>(e.g. fixed to floating)</w:t>
            </w:r>
          </w:p>
        </w:tc>
        <w:tc>
          <w:tcPr>
            <w:tcW w:w="2930" w:type="dxa"/>
          </w:tcPr>
          <w:p w:rsidR="00F23C9A" w:rsidRPr="00AE23B3" w:rsidP="00F23C9A">
            <w:pPr>
              <w:pStyle w:val="ListParagraph"/>
              <w:ind w:left="0"/>
            </w:pPr>
            <w:r w:rsidRPr="00AE23B3">
              <w:t>Interest or inflation rate swap (IRS), basis swap.</w:t>
            </w:r>
          </w:p>
        </w:tc>
        <w:tc>
          <w:tcPr>
            <w:tcW w:w="2441" w:type="dxa"/>
          </w:tcPr>
          <w:p w:rsidR="00F23C9A" w:rsidRPr="00AE23B3" w:rsidP="00106E02">
            <w:pPr>
              <w:pStyle w:val="ListParagraph"/>
              <w:ind w:left="0"/>
            </w:pPr>
            <w:r w:rsidRPr="00AE23B3">
              <w:t>Variable rate deposit</w:t>
            </w:r>
            <w:r w:rsidR="00106E02">
              <w:rPr>
                <w:color w:val="FF0000"/>
              </w:rPr>
              <w:t>.</w:t>
            </w:r>
          </w:p>
        </w:tc>
      </w:tr>
      <w:tr w:rsidTr="00AE23B3">
        <w:tblPrEx>
          <w:tblW w:w="9053" w:type="dxa"/>
          <w:tblLayout w:type="fixed"/>
          <w:tblLook w:val="04A0"/>
        </w:tblPrEx>
        <w:trPr>
          <w:trHeight w:val="574"/>
        </w:trPr>
        <w:tc>
          <w:tcPr>
            <w:tcW w:w="1413" w:type="dxa"/>
          </w:tcPr>
          <w:p w:rsidR="00F23C9A" w:rsidRPr="00AE23B3" w:rsidP="00F23C9A">
            <w:pPr>
              <w:pStyle w:val="ListParagraph"/>
              <w:ind w:left="0"/>
              <w:jc w:val="both"/>
            </w:pPr>
            <w:r w:rsidRPr="00AE23B3">
              <w:t>Purchased Options</w:t>
            </w:r>
          </w:p>
        </w:tc>
        <w:tc>
          <w:tcPr>
            <w:tcW w:w="2269" w:type="dxa"/>
          </w:tcPr>
          <w:p w:rsidR="00F23C9A" w:rsidRPr="00AE23B3" w:rsidP="00F23C9A">
            <w:pPr>
              <w:pStyle w:val="ListParagraph"/>
              <w:ind w:left="0"/>
            </w:pPr>
            <w:r w:rsidRPr="00AE23B3">
              <w:t>The right but no obligation to fix an interest or inflation rate in exchange for paying a premium</w:t>
            </w:r>
          </w:p>
        </w:tc>
        <w:tc>
          <w:tcPr>
            <w:tcW w:w="2930" w:type="dxa"/>
          </w:tcPr>
          <w:p w:rsidR="00F23C9A" w:rsidRPr="00AE23B3" w:rsidP="00F23C9A">
            <w:pPr>
              <w:pStyle w:val="ListParagraph"/>
              <w:ind w:left="0"/>
            </w:pPr>
            <w:r w:rsidRPr="00AE23B3">
              <w:t xml:space="preserve">Caps, floors, collars, </w:t>
            </w:r>
            <w:r w:rsidRPr="00AE23B3">
              <w:t>swaptions</w:t>
            </w:r>
            <w:r w:rsidRPr="00AE23B3">
              <w:t>, puts, calls</w:t>
            </w:r>
          </w:p>
        </w:tc>
        <w:tc>
          <w:tcPr>
            <w:tcW w:w="2441" w:type="dxa"/>
          </w:tcPr>
          <w:p w:rsidR="00F23C9A" w:rsidRPr="00AE23B3" w:rsidP="00F23C9A">
            <w:pPr>
              <w:pStyle w:val="ListParagraph"/>
              <w:ind w:left="0"/>
            </w:pPr>
            <w:r w:rsidRPr="00AE23B3">
              <w:t>Callable loan</w:t>
            </w:r>
          </w:p>
          <w:p w:rsidR="00F23C9A" w:rsidRPr="00AE23B3" w:rsidP="00F23C9A">
            <w:pPr>
              <w:pStyle w:val="ListParagraph"/>
              <w:ind w:left="0"/>
            </w:pPr>
            <w:r w:rsidRPr="00AE23B3">
              <w:t>Collared deposit</w:t>
            </w:r>
          </w:p>
        </w:tc>
      </w:tr>
    </w:tbl>
    <w:p w:rsidR="00F23C9A" w:rsidRPr="009F6C5A" w:rsidP="00F23C9A">
      <w:pPr>
        <w:jc w:val="both"/>
      </w:pPr>
    </w:p>
    <w:p w:rsidR="00F23C9A" w:rsidRPr="009F6C5A" w:rsidP="00F23C9A">
      <w:pPr>
        <w:jc w:val="both"/>
      </w:pPr>
      <w:r w:rsidRPr="009F6C5A">
        <w:t>The council will not sell interest rate or inflation rate options, (i.e. give another party the right to fix a rate) since these cannot reduce the council’s risk. The only exception is where a sold option is combined with a purchased option of equal or higher premium to create a collar or other structured outcome where maximum</w:t>
      </w:r>
      <w:r w:rsidR="003531F4">
        <w:t xml:space="preserve"> </w:t>
      </w:r>
      <w:r w:rsidRPr="00106E02" w:rsidR="003531F4">
        <w:t>net loss</w:t>
      </w:r>
      <w:r w:rsidRPr="00106E02">
        <w:t xml:space="preserve"> </w:t>
      </w:r>
      <w:r w:rsidRPr="009F6C5A">
        <w:t>is the total premium.</w:t>
      </w:r>
    </w:p>
    <w:p w:rsidR="00F23C9A" w:rsidRPr="009F6C5A" w:rsidP="00F23C9A">
      <w:pPr>
        <w:jc w:val="both"/>
      </w:pPr>
    </w:p>
    <w:p w:rsidR="00F23C9A" w:rsidRPr="009F6C5A" w:rsidP="00F23C9A">
      <w:pPr>
        <w:jc w:val="both"/>
      </w:pPr>
      <w:r w:rsidRPr="009F6C5A">
        <w:t xml:space="preserve">There are two methods of engaging in derivative contracts, exchange traded or settled derivatives and over the counter derivatives. The former are available in public markets and trade over a physical exchange with a clearing house acting as an intermediary and include futures and options. Over the counter contracts are privately negotiated and traded between two counterparties and can include swaps and forwards. </w:t>
      </w:r>
    </w:p>
    <w:p w:rsidR="00F23C9A" w:rsidRPr="009F6C5A" w:rsidP="00F23C9A">
      <w:pPr>
        <w:jc w:val="both"/>
      </w:pPr>
    </w:p>
    <w:p w:rsidR="00F23C9A" w:rsidRPr="009F6C5A" w:rsidP="00F23C9A">
      <w:pPr>
        <w:jc w:val="both"/>
      </w:pPr>
      <w:r w:rsidRPr="009F6C5A">
        <w:t>In a derivative contract both parties are often required to provide collateral (i.e. pools of valuable and liquid assets set aside specifically to back liabilities arising from the contract) to reduce credit risk. The method of assessing counterparty quality and suitability of collateral within the structure of the contracts is shown as follows:</w:t>
      </w:r>
    </w:p>
    <w:p w:rsidR="00F23C9A" w:rsidRPr="009F6C5A" w:rsidP="00F23C9A">
      <w:pPr>
        <w:jc w:val="both"/>
      </w:pPr>
    </w:p>
    <w:tbl>
      <w:tblPr>
        <w:tblStyle w:val="TableGrid"/>
        <w:tblW w:w="8926" w:type="dxa"/>
        <w:tblLayout w:type="fixed"/>
        <w:tblLook w:val="04A0"/>
      </w:tblPr>
      <w:tblGrid>
        <w:gridCol w:w="2268"/>
        <w:gridCol w:w="2405"/>
        <w:gridCol w:w="2126"/>
        <w:gridCol w:w="2127"/>
      </w:tblGrid>
      <w:tr w:rsidTr="00F23C9A">
        <w:tblPrEx>
          <w:tblW w:w="8926" w:type="dxa"/>
          <w:tblLayout w:type="fixed"/>
          <w:tblLook w:val="04A0"/>
        </w:tblPrEx>
        <w:trPr>
          <w:trHeight w:val="284"/>
        </w:trPr>
        <w:tc>
          <w:tcPr>
            <w:tcW w:w="2268" w:type="dxa"/>
          </w:tcPr>
          <w:p w:rsidR="00F23C9A" w:rsidRPr="00AE23B3" w:rsidP="00F23C9A">
            <w:pPr>
              <w:jc w:val="both"/>
              <w:rPr>
                <w:b/>
              </w:rPr>
            </w:pPr>
            <w:r w:rsidRPr="00AE23B3">
              <w:rPr>
                <w:b/>
              </w:rPr>
              <w:t>Product</w:t>
            </w:r>
          </w:p>
        </w:tc>
        <w:tc>
          <w:tcPr>
            <w:tcW w:w="2405" w:type="dxa"/>
          </w:tcPr>
          <w:p w:rsidR="00F23C9A" w:rsidRPr="00AE23B3" w:rsidP="00F23C9A">
            <w:pPr>
              <w:rPr>
                <w:b/>
              </w:rPr>
            </w:pPr>
            <w:r w:rsidRPr="00AE23B3">
              <w:rPr>
                <w:b/>
              </w:rPr>
              <w:t>Counterparty Quality</w:t>
            </w:r>
          </w:p>
        </w:tc>
        <w:tc>
          <w:tcPr>
            <w:tcW w:w="2126" w:type="dxa"/>
          </w:tcPr>
          <w:p w:rsidR="00F23C9A" w:rsidRPr="00AE23B3" w:rsidP="00F23C9A">
            <w:pPr>
              <w:jc w:val="both"/>
              <w:rPr>
                <w:b/>
              </w:rPr>
            </w:pPr>
            <w:r w:rsidRPr="00AE23B3">
              <w:rPr>
                <w:b/>
              </w:rPr>
              <w:t>Security</w:t>
            </w:r>
          </w:p>
        </w:tc>
        <w:tc>
          <w:tcPr>
            <w:tcW w:w="2127" w:type="dxa"/>
          </w:tcPr>
          <w:p w:rsidR="00F23C9A" w:rsidRPr="00AE23B3" w:rsidP="00F23C9A">
            <w:pPr>
              <w:jc w:val="both"/>
              <w:rPr>
                <w:b/>
              </w:rPr>
            </w:pPr>
            <w:r w:rsidRPr="00AE23B3">
              <w:rPr>
                <w:b/>
              </w:rPr>
              <w:t>Method</w:t>
            </w:r>
          </w:p>
        </w:tc>
      </w:tr>
      <w:tr w:rsidTr="00F23C9A">
        <w:tblPrEx>
          <w:tblW w:w="8926" w:type="dxa"/>
          <w:tblLayout w:type="fixed"/>
          <w:tblLook w:val="04A0"/>
        </w:tblPrEx>
        <w:trPr>
          <w:trHeight w:val="447"/>
        </w:trPr>
        <w:tc>
          <w:tcPr>
            <w:tcW w:w="2268" w:type="dxa"/>
          </w:tcPr>
          <w:p w:rsidR="00F23C9A" w:rsidRPr="00AE23B3" w:rsidP="00F23C9A">
            <w:r w:rsidRPr="00AE23B3">
              <w:t>Exchange traded or cleared product</w:t>
            </w:r>
          </w:p>
        </w:tc>
        <w:tc>
          <w:tcPr>
            <w:tcW w:w="2405" w:type="dxa"/>
          </w:tcPr>
          <w:p w:rsidR="00F23C9A" w:rsidRPr="00AE23B3" w:rsidP="00F23C9A">
            <w:r w:rsidRPr="00AE23B3">
              <w:t>Credit rating of exchange</w:t>
            </w:r>
          </w:p>
        </w:tc>
        <w:tc>
          <w:tcPr>
            <w:tcW w:w="2126" w:type="dxa"/>
          </w:tcPr>
          <w:p w:rsidR="00F23C9A" w:rsidRPr="00AE23B3" w:rsidP="00F23C9A">
            <w:r w:rsidRPr="00AE23B3">
              <w:t>Credit rating of clearing agent</w:t>
            </w:r>
          </w:p>
        </w:tc>
        <w:tc>
          <w:tcPr>
            <w:tcW w:w="2127" w:type="dxa"/>
          </w:tcPr>
          <w:p w:rsidR="00F23C9A" w:rsidRPr="00AE23B3" w:rsidP="00F23C9A">
            <w:r w:rsidRPr="00AE23B3">
              <w:t xml:space="preserve">Margin netting </w:t>
            </w:r>
          </w:p>
        </w:tc>
      </w:tr>
      <w:tr w:rsidTr="00F23C9A">
        <w:tblPrEx>
          <w:tblW w:w="8926" w:type="dxa"/>
          <w:tblLayout w:type="fixed"/>
          <w:tblLook w:val="04A0"/>
        </w:tblPrEx>
        <w:trPr>
          <w:trHeight w:val="447"/>
        </w:trPr>
        <w:tc>
          <w:tcPr>
            <w:tcW w:w="2268" w:type="dxa"/>
          </w:tcPr>
          <w:p w:rsidR="00F23C9A" w:rsidRPr="00AE23B3" w:rsidP="00F23C9A">
            <w:r w:rsidRPr="00AE23B3">
              <w:t>Bilateral Forward rate agreements and  swaps assuming netting</w:t>
            </w:r>
          </w:p>
        </w:tc>
        <w:tc>
          <w:tcPr>
            <w:tcW w:w="2405" w:type="dxa"/>
          </w:tcPr>
          <w:p w:rsidR="00F23C9A" w:rsidRPr="00AE23B3" w:rsidP="00F23C9A">
            <w:r w:rsidRPr="00AE23B3">
              <w:t>Credit rating of counterparty</w:t>
            </w:r>
          </w:p>
        </w:tc>
        <w:tc>
          <w:tcPr>
            <w:tcW w:w="2126" w:type="dxa"/>
          </w:tcPr>
          <w:p w:rsidR="00F23C9A" w:rsidRPr="00AE23B3" w:rsidP="00F23C9A">
            <w:r w:rsidRPr="00AE23B3">
              <w:t>Full 2-way collateral arrangements</w:t>
            </w:r>
          </w:p>
        </w:tc>
        <w:tc>
          <w:tcPr>
            <w:tcW w:w="2127" w:type="dxa"/>
          </w:tcPr>
          <w:p w:rsidR="00F23C9A" w:rsidRPr="00AE23B3" w:rsidP="00F23C9A">
            <w:r w:rsidRPr="00AE23B3">
              <w:t>Types of collateral agreed and any haircuts</w:t>
            </w:r>
          </w:p>
        </w:tc>
      </w:tr>
      <w:tr w:rsidTr="00F23C9A">
        <w:tblPrEx>
          <w:tblW w:w="8926" w:type="dxa"/>
          <w:tblLayout w:type="fixed"/>
          <w:tblLook w:val="04A0"/>
        </w:tblPrEx>
        <w:trPr>
          <w:trHeight w:val="447"/>
        </w:trPr>
        <w:tc>
          <w:tcPr>
            <w:tcW w:w="2268" w:type="dxa"/>
          </w:tcPr>
          <w:p w:rsidR="00F23C9A" w:rsidRPr="00AE23B3" w:rsidP="00C7299A">
            <w:r w:rsidRPr="00AE23B3">
              <w:t>O</w:t>
            </w:r>
            <w:r>
              <w:t xml:space="preserve">ver the </w:t>
            </w:r>
            <w:r w:rsidRPr="00AE23B3">
              <w:t>C</w:t>
            </w:r>
            <w:r>
              <w:t>ounter</w:t>
            </w:r>
            <w:r w:rsidRPr="00AE23B3">
              <w:t xml:space="preserve"> Options</w:t>
            </w:r>
          </w:p>
        </w:tc>
        <w:tc>
          <w:tcPr>
            <w:tcW w:w="2405" w:type="dxa"/>
          </w:tcPr>
          <w:p w:rsidR="00F23C9A" w:rsidRPr="00AE23B3" w:rsidP="00F23C9A">
            <w:r w:rsidRPr="00AE23B3">
              <w:t>Credit rating of counterparty</w:t>
            </w:r>
          </w:p>
        </w:tc>
        <w:tc>
          <w:tcPr>
            <w:tcW w:w="2126" w:type="dxa"/>
          </w:tcPr>
          <w:p w:rsidR="00F23C9A" w:rsidRPr="00AE23B3" w:rsidP="00F23C9A">
            <w:r w:rsidRPr="00AE23B3">
              <w:t xml:space="preserve">Agreed full 2-way collateral </w:t>
            </w:r>
          </w:p>
        </w:tc>
        <w:tc>
          <w:tcPr>
            <w:tcW w:w="2127" w:type="dxa"/>
          </w:tcPr>
          <w:p w:rsidR="00F23C9A" w:rsidRPr="00AE23B3" w:rsidP="00F23C9A">
            <w:r w:rsidRPr="00AE23B3">
              <w:t>Types of collateral and haircuts</w:t>
            </w:r>
          </w:p>
        </w:tc>
      </w:tr>
      <w:tr w:rsidTr="00F23C9A">
        <w:tblPrEx>
          <w:tblW w:w="8926" w:type="dxa"/>
          <w:tblLayout w:type="fixed"/>
          <w:tblLook w:val="04A0"/>
        </w:tblPrEx>
        <w:trPr>
          <w:trHeight w:val="472"/>
        </w:trPr>
        <w:tc>
          <w:tcPr>
            <w:tcW w:w="2268" w:type="dxa"/>
          </w:tcPr>
          <w:p w:rsidR="00F23C9A" w:rsidRPr="00AE23B3" w:rsidP="00F23C9A">
            <w:r w:rsidRPr="00AE23B3">
              <w:t xml:space="preserve">Intra Local Authority swaps </w:t>
            </w:r>
          </w:p>
        </w:tc>
        <w:tc>
          <w:tcPr>
            <w:tcW w:w="2405" w:type="dxa"/>
          </w:tcPr>
          <w:p w:rsidR="00F23C9A" w:rsidRPr="00AE23B3" w:rsidP="00F23C9A">
            <w:r w:rsidRPr="00AE23B3">
              <w:t>Assumed Credit rating</w:t>
            </w:r>
          </w:p>
        </w:tc>
        <w:tc>
          <w:tcPr>
            <w:tcW w:w="2126" w:type="dxa"/>
          </w:tcPr>
          <w:p w:rsidR="00F23C9A" w:rsidRPr="00AE23B3" w:rsidP="00F23C9A">
            <w:r w:rsidRPr="00AE23B3">
              <w:t>2-way collateral (cash)</w:t>
            </w:r>
          </w:p>
        </w:tc>
        <w:tc>
          <w:tcPr>
            <w:tcW w:w="2127" w:type="dxa"/>
          </w:tcPr>
          <w:p w:rsidR="00F23C9A" w:rsidRPr="00AE23B3" w:rsidP="00F23C9A">
            <w:r w:rsidRPr="00AE23B3">
              <w:t xml:space="preserve">No haircut </w:t>
            </w:r>
          </w:p>
        </w:tc>
      </w:tr>
    </w:tbl>
    <w:p w:rsidR="00F23C9A" w:rsidRPr="009F6C5A" w:rsidP="00F23C9A">
      <w:pPr>
        <w:jc w:val="both"/>
      </w:pPr>
    </w:p>
    <w:p w:rsidR="00F23C9A" w:rsidRPr="009F6C5A" w:rsidP="00F23C9A">
      <w:pPr>
        <w:jc w:val="both"/>
      </w:pPr>
      <w:r w:rsidRPr="009F6C5A">
        <w:t>The credit quality of the collateral acceptable to the county council will be determined by the credit rating of the counterparty or exchange, along with credit default swap prices which react much quicker than credit rating agencies and can be used as early indicators of credit or liquidity problems.</w:t>
      </w:r>
    </w:p>
    <w:p w:rsidR="00F23C9A" w:rsidRPr="009F6C5A" w:rsidP="00F23C9A">
      <w:pPr>
        <w:jc w:val="both"/>
      </w:pPr>
    </w:p>
    <w:p w:rsidR="00F23C9A" w:rsidRPr="009F6C5A" w:rsidP="00F23C9A">
      <w:pPr>
        <w:jc w:val="both"/>
      </w:pPr>
      <w:r w:rsidRPr="009F6C5A">
        <w:t>The following table defines the appropriate limits for collateral quality:</w:t>
      </w:r>
    </w:p>
    <w:p w:rsidR="00F23C9A" w:rsidRPr="009F6C5A" w:rsidP="00F23C9A">
      <w:pPr>
        <w:jc w:val="both"/>
      </w:pPr>
    </w:p>
    <w:tbl>
      <w:tblPr>
        <w:tblStyle w:val="TableGrid"/>
        <w:tblW w:w="0" w:type="auto"/>
        <w:tblLook w:val="04A0"/>
      </w:tblPr>
      <w:tblGrid>
        <w:gridCol w:w="1759"/>
        <w:gridCol w:w="2151"/>
        <w:gridCol w:w="1736"/>
        <w:gridCol w:w="1831"/>
        <w:gridCol w:w="1539"/>
      </w:tblGrid>
      <w:tr w:rsidTr="00F23C9A">
        <w:tblPrEx>
          <w:tblW w:w="0" w:type="auto"/>
          <w:tblLook w:val="04A0"/>
        </w:tblPrEx>
        <w:tc>
          <w:tcPr>
            <w:tcW w:w="1777" w:type="dxa"/>
          </w:tcPr>
          <w:p w:rsidR="00F23C9A" w:rsidRPr="00AE23B3" w:rsidP="00F23C9A">
            <w:pPr>
              <w:rPr>
                <w:b/>
              </w:rPr>
            </w:pPr>
            <w:r w:rsidRPr="00AE23B3">
              <w:rPr>
                <w:b/>
              </w:rPr>
              <w:t>Counterparty type</w:t>
            </w:r>
          </w:p>
        </w:tc>
        <w:tc>
          <w:tcPr>
            <w:tcW w:w="1989" w:type="dxa"/>
          </w:tcPr>
          <w:p w:rsidR="00F23C9A" w:rsidRPr="00AE23B3" w:rsidP="00F23C9A">
            <w:pPr>
              <w:rPr>
                <w:b/>
              </w:rPr>
            </w:pPr>
            <w:r w:rsidRPr="00AE23B3">
              <w:rPr>
                <w:b/>
              </w:rPr>
              <w:t>Documentation</w:t>
            </w:r>
          </w:p>
        </w:tc>
        <w:tc>
          <w:tcPr>
            <w:tcW w:w="1836" w:type="dxa"/>
          </w:tcPr>
          <w:p w:rsidR="00F23C9A" w:rsidRPr="00AE23B3" w:rsidP="00F23C9A">
            <w:pPr>
              <w:rPr>
                <w:b/>
              </w:rPr>
            </w:pPr>
            <w:r w:rsidRPr="00AE23B3">
              <w:rPr>
                <w:b/>
              </w:rPr>
              <w:t>Collateral types</w:t>
            </w:r>
          </w:p>
        </w:tc>
        <w:tc>
          <w:tcPr>
            <w:tcW w:w="1727" w:type="dxa"/>
          </w:tcPr>
          <w:p w:rsidR="00F23C9A" w:rsidRPr="00AE23B3" w:rsidP="00F23C9A">
            <w:pPr>
              <w:rPr>
                <w:b/>
              </w:rPr>
            </w:pPr>
            <w:r w:rsidRPr="00AE23B3">
              <w:rPr>
                <w:b/>
              </w:rPr>
              <w:t>CDS levels</w:t>
            </w:r>
          </w:p>
        </w:tc>
        <w:tc>
          <w:tcPr>
            <w:tcW w:w="1687" w:type="dxa"/>
          </w:tcPr>
          <w:p w:rsidR="00F23C9A" w:rsidRPr="00AE23B3" w:rsidP="00F23C9A">
            <w:pPr>
              <w:rPr>
                <w:b/>
              </w:rPr>
            </w:pPr>
            <w:r w:rsidRPr="00AE23B3">
              <w:rPr>
                <w:b/>
              </w:rPr>
              <w:t>Rating</w:t>
            </w:r>
          </w:p>
        </w:tc>
      </w:tr>
      <w:tr w:rsidTr="00F23C9A">
        <w:tblPrEx>
          <w:tblW w:w="0" w:type="auto"/>
          <w:tblLook w:val="04A0"/>
        </w:tblPrEx>
        <w:tc>
          <w:tcPr>
            <w:tcW w:w="1777" w:type="dxa"/>
          </w:tcPr>
          <w:p w:rsidR="00F23C9A" w:rsidRPr="00AE23B3" w:rsidP="00F23C9A">
            <w:r w:rsidRPr="00AE23B3">
              <w:t>Exchange</w:t>
            </w:r>
          </w:p>
        </w:tc>
        <w:tc>
          <w:tcPr>
            <w:tcW w:w="1989" w:type="dxa"/>
          </w:tcPr>
          <w:p w:rsidR="00F23C9A" w:rsidRPr="00AE23B3" w:rsidP="00F23C9A">
            <w:r w:rsidRPr="00AE23B3">
              <w:t>MIFCA</w:t>
            </w:r>
          </w:p>
        </w:tc>
        <w:tc>
          <w:tcPr>
            <w:tcW w:w="1836" w:type="dxa"/>
          </w:tcPr>
          <w:p w:rsidR="00F23C9A" w:rsidRPr="00AE23B3" w:rsidP="00F23C9A">
            <w:r w:rsidRPr="00AE23B3">
              <w:t>Cash margins</w:t>
            </w:r>
          </w:p>
        </w:tc>
        <w:tc>
          <w:tcPr>
            <w:tcW w:w="1727" w:type="dxa"/>
          </w:tcPr>
          <w:p w:rsidR="00F23C9A" w:rsidRPr="00AE23B3" w:rsidP="00F23C9A">
            <w:r w:rsidRPr="00AE23B3">
              <w:t>&lt;75bp</w:t>
            </w:r>
          </w:p>
        </w:tc>
        <w:tc>
          <w:tcPr>
            <w:tcW w:w="1687" w:type="dxa"/>
          </w:tcPr>
          <w:p w:rsidR="00F23C9A" w:rsidRPr="00AE23B3" w:rsidP="00F23C9A">
            <w:r w:rsidRPr="00AE23B3">
              <w:t>AA</w:t>
            </w:r>
          </w:p>
        </w:tc>
      </w:tr>
      <w:tr w:rsidTr="00F23C9A">
        <w:tblPrEx>
          <w:tblW w:w="0" w:type="auto"/>
          <w:tblLook w:val="04A0"/>
        </w:tblPrEx>
        <w:tc>
          <w:tcPr>
            <w:tcW w:w="1777" w:type="dxa"/>
          </w:tcPr>
          <w:p w:rsidR="00F23C9A" w:rsidRPr="00AE23B3" w:rsidP="00F23C9A">
            <w:r w:rsidRPr="00AE23B3">
              <w:t>Bank</w:t>
            </w:r>
          </w:p>
        </w:tc>
        <w:tc>
          <w:tcPr>
            <w:tcW w:w="1989" w:type="dxa"/>
          </w:tcPr>
          <w:p w:rsidR="00F23C9A" w:rsidRPr="00AE23B3" w:rsidP="00F23C9A">
            <w:r w:rsidRPr="00AE23B3">
              <w:t xml:space="preserve">International Swaps and Derivatives Association/Credit Support Annex </w:t>
            </w:r>
          </w:p>
        </w:tc>
        <w:tc>
          <w:tcPr>
            <w:tcW w:w="1836" w:type="dxa"/>
          </w:tcPr>
          <w:p w:rsidR="00F23C9A" w:rsidRPr="00AE23B3" w:rsidP="00F23C9A">
            <w:r w:rsidRPr="00AE23B3">
              <w:t>Cash and Government bonds</w:t>
            </w:r>
          </w:p>
        </w:tc>
        <w:tc>
          <w:tcPr>
            <w:tcW w:w="1727" w:type="dxa"/>
          </w:tcPr>
          <w:p w:rsidR="00F23C9A" w:rsidRPr="00AE23B3" w:rsidP="00F23C9A">
            <w:r w:rsidRPr="00AE23B3">
              <w:t>&lt;100bp</w:t>
            </w:r>
          </w:p>
        </w:tc>
        <w:tc>
          <w:tcPr>
            <w:tcW w:w="1687" w:type="dxa"/>
          </w:tcPr>
          <w:p w:rsidR="00F23C9A" w:rsidRPr="00AE23B3" w:rsidP="00F23C9A">
            <w:r w:rsidRPr="00AE23B3">
              <w:t>A3</w:t>
            </w:r>
          </w:p>
        </w:tc>
      </w:tr>
      <w:tr w:rsidTr="00F23C9A">
        <w:tblPrEx>
          <w:tblW w:w="0" w:type="auto"/>
          <w:tblLook w:val="04A0"/>
        </w:tblPrEx>
        <w:tc>
          <w:tcPr>
            <w:tcW w:w="1777" w:type="dxa"/>
          </w:tcPr>
          <w:p w:rsidR="00F23C9A" w:rsidRPr="00AE23B3" w:rsidP="00F23C9A">
            <w:r w:rsidRPr="00AE23B3">
              <w:t>Insurer and Pension Fund</w:t>
            </w:r>
          </w:p>
        </w:tc>
        <w:tc>
          <w:tcPr>
            <w:tcW w:w="1989" w:type="dxa"/>
          </w:tcPr>
          <w:p w:rsidR="00F23C9A" w:rsidRPr="00AE23B3" w:rsidP="00F23C9A">
            <w:r w:rsidRPr="00AE23B3">
              <w:t>International Swaps and Derivatives Association/ Credit Support Annex</w:t>
            </w:r>
          </w:p>
        </w:tc>
        <w:tc>
          <w:tcPr>
            <w:tcW w:w="1836" w:type="dxa"/>
          </w:tcPr>
          <w:p w:rsidR="00F23C9A" w:rsidRPr="00AE23B3" w:rsidP="00F23C9A">
            <w:r w:rsidRPr="00AE23B3">
              <w:t>Cash and Government bonds</w:t>
            </w:r>
          </w:p>
        </w:tc>
        <w:tc>
          <w:tcPr>
            <w:tcW w:w="1727" w:type="dxa"/>
          </w:tcPr>
          <w:p w:rsidR="00F23C9A" w:rsidRPr="00AE23B3" w:rsidP="00F23C9A">
            <w:r w:rsidRPr="00AE23B3">
              <w:t>&lt;100 (Insurers)</w:t>
            </w:r>
          </w:p>
        </w:tc>
        <w:tc>
          <w:tcPr>
            <w:tcW w:w="1687" w:type="dxa"/>
          </w:tcPr>
          <w:p w:rsidR="00F23C9A" w:rsidRPr="00AE23B3" w:rsidP="00F23C9A">
            <w:r w:rsidRPr="00AE23B3">
              <w:t>A3 (Insurers)</w:t>
            </w:r>
          </w:p>
        </w:tc>
      </w:tr>
      <w:tr w:rsidTr="00F23C9A">
        <w:tblPrEx>
          <w:tblW w:w="0" w:type="auto"/>
          <w:tblLook w:val="04A0"/>
        </w:tblPrEx>
        <w:tc>
          <w:tcPr>
            <w:tcW w:w="1777" w:type="dxa"/>
          </w:tcPr>
          <w:p w:rsidR="00F23C9A" w:rsidRPr="00AE23B3" w:rsidP="00F23C9A">
            <w:r w:rsidRPr="00AE23B3">
              <w:t>Local Authority</w:t>
            </w:r>
          </w:p>
        </w:tc>
        <w:tc>
          <w:tcPr>
            <w:tcW w:w="1989" w:type="dxa"/>
          </w:tcPr>
          <w:p w:rsidR="00F23C9A" w:rsidRPr="00AE23B3" w:rsidP="00F23C9A">
            <w:r w:rsidRPr="00AE23B3">
              <w:t>Contract</w:t>
            </w:r>
          </w:p>
        </w:tc>
        <w:tc>
          <w:tcPr>
            <w:tcW w:w="1836" w:type="dxa"/>
          </w:tcPr>
          <w:p w:rsidR="00F23C9A" w:rsidRPr="00AE23B3" w:rsidP="00F23C9A">
            <w:r w:rsidRPr="00AE23B3">
              <w:t>Cash and Government bonds</w:t>
            </w:r>
          </w:p>
        </w:tc>
        <w:tc>
          <w:tcPr>
            <w:tcW w:w="1727" w:type="dxa"/>
          </w:tcPr>
          <w:p w:rsidR="00F23C9A" w:rsidRPr="00AE23B3" w:rsidP="00F23C9A">
            <w:r w:rsidRPr="00AE23B3">
              <w:t>England/Wales None</w:t>
            </w:r>
          </w:p>
        </w:tc>
        <w:tc>
          <w:tcPr>
            <w:tcW w:w="1687" w:type="dxa"/>
          </w:tcPr>
          <w:p w:rsidR="00F23C9A" w:rsidRPr="00AE23B3" w:rsidP="00F23C9A">
            <w:r w:rsidRPr="00AE23B3">
              <w:t>England and Wales None</w:t>
            </w:r>
          </w:p>
        </w:tc>
      </w:tr>
    </w:tbl>
    <w:p w:rsidR="00F23C9A" w:rsidRPr="009F6C5A" w:rsidP="00F23C9A">
      <w:pPr>
        <w:jc w:val="both"/>
      </w:pPr>
    </w:p>
    <w:p w:rsidR="00F23C9A" w:rsidRPr="009F6C5A" w:rsidP="00F23C9A">
      <w:pPr>
        <w:jc w:val="both"/>
      </w:pPr>
      <w:r w:rsidRPr="009F6C5A">
        <w:t xml:space="preserve">The council will only use derivative contracts to hedge existing risks. This is reflected in the limits below. The 100% upper limit means that the council has the option to hedge all of, but not more than, its interest rate risk if felt appropriate.  </w:t>
      </w:r>
    </w:p>
    <w:tbl>
      <w:tblPr>
        <w:tblStyle w:val="TableGrid"/>
        <w:tblW w:w="9067" w:type="dxa"/>
        <w:tblLook w:val="04A0"/>
      </w:tblPr>
      <w:tblGrid>
        <w:gridCol w:w="1820"/>
        <w:gridCol w:w="1742"/>
        <w:gridCol w:w="1536"/>
        <w:gridCol w:w="2127"/>
        <w:gridCol w:w="1842"/>
      </w:tblGrid>
      <w:tr w:rsidTr="00F23C9A">
        <w:tblPrEx>
          <w:tblW w:w="9067" w:type="dxa"/>
          <w:tblLook w:val="04A0"/>
        </w:tblPrEx>
        <w:tc>
          <w:tcPr>
            <w:tcW w:w="1820" w:type="dxa"/>
          </w:tcPr>
          <w:p w:rsidR="00F23C9A" w:rsidRPr="00AE23B3" w:rsidP="00F23C9A">
            <w:pPr>
              <w:jc w:val="both"/>
              <w:rPr>
                <w:b/>
              </w:rPr>
            </w:pPr>
            <w:r w:rsidRPr="00AE23B3">
              <w:rPr>
                <w:b/>
              </w:rPr>
              <w:t>Exposure Metric</w:t>
            </w:r>
          </w:p>
        </w:tc>
        <w:tc>
          <w:tcPr>
            <w:tcW w:w="1742" w:type="dxa"/>
          </w:tcPr>
          <w:p w:rsidR="00F23C9A" w:rsidRPr="00AE23B3" w:rsidP="00F23C9A">
            <w:pPr>
              <w:jc w:val="both"/>
              <w:rPr>
                <w:b/>
              </w:rPr>
            </w:pPr>
            <w:r w:rsidRPr="00AE23B3">
              <w:rPr>
                <w:b/>
              </w:rPr>
              <w:t>Min Hedge</w:t>
            </w:r>
          </w:p>
        </w:tc>
        <w:tc>
          <w:tcPr>
            <w:tcW w:w="1536" w:type="dxa"/>
          </w:tcPr>
          <w:p w:rsidR="00F23C9A" w:rsidRPr="00AE23B3" w:rsidP="00F23C9A">
            <w:pPr>
              <w:jc w:val="both"/>
              <w:rPr>
                <w:b/>
              </w:rPr>
            </w:pPr>
            <w:r w:rsidRPr="00AE23B3">
              <w:rPr>
                <w:b/>
              </w:rPr>
              <w:t>Max Hedge</w:t>
            </w:r>
          </w:p>
        </w:tc>
        <w:tc>
          <w:tcPr>
            <w:tcW w:w="2127" w:type="dxa"/>
          </w:tcPr>
          <w:p w:rsidR="00F23C9A" w:rsidRPr="00AE23B3" w:rsidP="00F23C9A">
            <w:pPr>
              <w:jc w:val="both"/>
              <w:rPr>
                <w:b/>
              </w:rPr>
            </w:pPr>
            <w:r w:rsidRPr="00AE23B3">
              <w:rPr>
                <w:b/>
              </w:rPr>
              <w:t>Granularity</w:t>
            </w:r>
          </w:p>
        </w:tc>
        <w:tc>
          <w:tcPr>
            <w:tcW w:w="1842" w:type="dxa"/>
          </w:tcPr>
          <w:p w:rsidR="00F23C9A" w:rsidRPr="00AE23B3" w:rsidP="00F23C9A">
            <w:pPr>
              <w:jc w:val="both"/>
              <w:rPr>
                <w:b/>
              </w:rPr>
            </w:pPr>
            <w:r w:rsidRPr="00AE23B3">
              <w:rPr>
                <w:b/>
              </w:rPr>
              <w:t>Tool</w:t>
            </w:r>
          </w:p>
        </w:tc>
      </w:tr>
      <w:tr w:rsidTr="00F23C9A">
        <w:tblPrEx>
          <w:tblW w:w="9067" w:type="dxa"/>
          <w:tblLook w:val="04A0"/>
        </w:tblPrEx>
        <w:tc>
          <w:tcPr>
            <w:tcW w:w="1820" w:type="dxa"/>
          </w:tcPr>
          <w:p w:rsidR="00F23C9A" w:rsidRPr="00AE23B3" w:rsidP="00F23C9A">
            <w:pPr>
              <w:jc w:val="both"/>
            </w:pPr>
            <w:r w:rsidRPr="00AE23B3">
              <w:t xml:space="preserve">Interest rate </w:t>
            </w:r>
          </w:p>
          <w:p w:rsidR="00F23C9A" w:rsidRPr="00AE23B3" w:rsidP="00F23C9A">
            <w:pPr>
              <w:jc w:val="both"/>
            </w:pPr>
          </w:p>
        </w:tc>
        <w:tc>
          <w:tcPr>
            <w:tcW w:w="1742" w:type="dxa"/>
          </w:tcPr>
          <w:p w:rsidR="00F23C9A" w:rsidRPr="00AE23B3" w:rsidP="00F23C9A">
            <w:pPr>
              <w:jc w:val="center"/>
            </w:pPr>
            <w:r w:rsidRPr="00AE23B3">
              <w:t>0%</w:t>
            </w:r>
          </w:p>
        </w:tc>
        <w:tc>
          <w:tcPr>
            <w:tcW w:w="1536" w:type="dxa"/>
          </w:tcPr>
          <w:p w:rsidR="00F23C9A" w:rsidRPr="00AE23B3" w:rsidP="00F23C9A">
            <w:pPr>
              <w:jc w:val="center"/>
            </w:pPr>
            <w:r w:rsidRPr="00AE23B3">
              <w:t>100%</w:t>
            </w:r>
          </w:p>
        </w:tc>
        <w:tc>
          <w:tcPr>
            <w:tcW w:w="2127" w:type="dxa"/>
          </w:tcPr>
          <w:p w:rsidR="00F23C9A" w:rsidRPr="00AE23B3" w:rsidP="00F23C9A">
            <w:r w:rsidRPr="00AE23B3">
              <w:t>0-3 months 3-6 months, 6-12m months, 1 to 2 years, 2-5 years and 5 year blocks</w:t>
            </w:r>
          </w:p>
        </w:tc>
        <w:tc>
          <w:tcPr>
            <w:tcW w:w="1842" w:type="dxa"/>
          </w:tcPr>
          <w:p w:rsidR="00F23C9A" w:rsidRPr="00AE23B3" w:rsidP="00F23C9A">
            <w:r w:rsidRPr="00AE23B3">
              <w:t>Forward rate agreements, Futures, Options, Swaps</w:t>
            </w:r>
          </w:p>
          <w:p w:rsidR="00F23C9A" w:rsidRPr="00AE23B3" w:rsidP="00F23C9A">
            <w:r w:rsidRPr="00AE23B3">
              <w:t>Swaption</w:t>
            </w:r>
          </w:p>
        </w:tc>
      </w:tr>
      <w:tr w:rsidTr="00F23C9A">
        <w:tblPrEx>
          <w:tblW w:w="9067" w:type="dxa"/>
          <w:tblLook w:val="04A0"/>
        </w:tblPrEx>
        <w:tc>
          <w:tcPr>
            <w:tcW w:w="1820" w:type="dxa"/>
          </w:tcPr>
          <w:p w:rsidR="00F23C9A" w:rsidRPr="00AE23B3" w:rsidP="00F23C9A">
            <w:pPr>
              <w:jc w:val="both"/>
            </w:pPr>
            <w:r w:rsidRPr="00AE23B3">
              <w:t>Inflation rate</w:t>
            </w:r>
          </w:p>
          <w:p w:rsidR="00F23C9A" w:rsidRPr="00AE23B3" w:rsidP="00F23C9A">
            <w:pPr>
              <w:jc w:val="both"/>
            </w:pPr>
          </w:p>
        </w:tc>
        <w:tc>
          <w:tcPr>
            <w:tcW w:w="1742" w:type="dxa"/>
          </w:tcPr>
          <w:p w:rsidR="00F23C9A" w:rsidRPr="00AE23B3" w:rsidP="00F23C9A">
            <w:pPr>
              <w:jc w:val="center"/>
            </w:pPr>
            <w:r w:rsidRPr="00AE23B3">
              <w:t>0%</w:t>
            </w:r>
          </w:p>
        </w:tc>
        <w:tc>
          <w:tcPr>
            <w:tcW w:w="1536" w:type="dxa"/>
          </w:tcPr>
          <w:p w:rsidR="00F23C9A" w:rsidRPr="00AE23B3" w:rsidP="00F23C9A">
            <w:pPr>
              <w:jc w:val="center"/>
            </w:pPr>
            <w:r w:rsidRPr="00AE23B3">
              <w:t>100%</w:t>
            </w:r>
          </w:p>
        </w:tc>
        <w:tc>
          <w:tcPr>
            <w:tcW w:w="2127" w:type="dxa"/>
          </w:tcPr>
          <w:p w:rsidR="00F23C9A" w:rsidRPr="00AE23B3" w:rsidP="00F23C9A">
            <w:r w:rsidRPr="00AE23B3">
              <w:t>1 to 2 years, 2-5 years and 5+ years blocks</w:t>
            </w:r>
          </w:p>
        </w:tc>
        <w:tc>
          <w:tcPr>
            <w:tcW w:w="1842" w:type="dxa"/>
          </w:tcPr>
          <w:p w:rsidR="00F23C9A" w:rsidRPr="00AE23B3" w:rsidP="00F23C9A">
            <w:r w:rsidRPr="00AE23B3">
              <w:t xml:space="preserve">Swap, </w:t>
            </w:r>
            <w:r w:rsidRPr="00AE23B3">
              <w:t>Swaption</w:t>
            </w:r>
            <w:r w:rsidRPr="00AE23B3">
              <w:t>, Option</w:t>
            </w:r>
          </w:p>
        </w:tc>
      </w:tr>
    </w:tbl>
    <w:p w:rsidR="00F23C9A" w:rsidRPr="009F6C5A" w:rsidP="00F23C9A">
      <w:pPr>
        <w:jc w:val="both"/>
      </w:pPr>
    </w:p>
    <w:p w:rsidR="00F23C9A" w:rsidRPr="009F6C5A" w:rsidP="00F23C9A">
      <w:pPr>
        <w:jc w:val="both"/>
      </w:pPr>
      <w:r w:rsidRPr="009F6C5A">
        <w:t>In addition hedge accounting will be used to periodically test the effectiveness of the hedge. It is expected the hedge will work with between 80% and 125% effectiveness in accordance with accounting standards. If the effectiveness is measured as falling outside these parameters, the structure of the hedge will be changed in response.</w:t>
      </w:r>
    </w:p>
    <w:p w:rsidR="00F23C9A" w:rsidRPr="009F6C5A" w:rsidP="00F23C9A">
      <w:pPr>
        <w:jc w:val="both"/>
      </w:pPr>
    </w:p>
    <w:p w:rsidR="00F23C9A" w:rsidP="00F23C9A">
      <w:pPr>
        <w:jc w:val="both"/>
      </w:pPr>
      <w:r w:rsidRPr="009F6C5A">
        <w:t xml:space="preserve">The calculation method of interest rate risk to be hedged and hedge effectiveness will be set out in the treasury management practices document. </w:t>
      </w:r>
    </w:p>
    <w:p w:rsidR="00F23C9A" w:rsidRPr="009F6C5A" w:rsidP="00F23C9A">
      <w:pPr>
        <w:jc w:val="both"/>
      </w:pPr>
    </w:p>
    <w:p w:rsidR="00F23C9A" w:rsidRPr="009F6C5A" w:rsidP="00F23C9A">
      <w:pPr>
        <w:jc w:val="both"/>
      </w:pPr>
      <w:r w:rsidRPr="009F6C5A">
        <w:t xml:space="preserve">At all times the council will comply with </w:t>
      </w:r>
      <w:r w:rsidRPr="00C7299A">
        <w:t>Chartered Institute of Public Finance and Accountancy</w:t>
      </w:r>
      <w:r w:rsidRPr="009F6C5A">
        <w:t xml:space="preserve"> advice and guidance on the use of financial derivatives and have regard to </w:t>
      </w:r>
      <w:r w:rsidR="00BC19F8">
        <w:t xml:space="preserve">their </w:t>
      </w:r>
      <w:r w:rsidRPr="009F6C5A" w:rsidR="00BC19F8">
        <w:t>publications</w:t>
      </w:r>
      <w:r w:rsidRPr="009F6C5A">
        <w:t xml:space="preserve"> on risk management. However the council may need to seek its own legal advice. </w:t>
      </w:r>
    </w:p>
    <w:p w:rsidR="00F23C9A" w:rsidRPr="009F6C5A" w:rsidP="00F23C9A"/>
    <w:p w:rsidR="00F23C9A" w:rsidRPr="009F6C5A" w:rsidP="00F23C9A">
      <w:pPr>
        <w:jc w:val="both"/>
      </w:pPr>
      <w:r w:rsidRPr="009F6C5A">
        <w:t xml:space="preserve">It is anticipated that there may be occasions when it is appropriate to undertake transactions which seek to reduce the council's specific exposure to interest rate risk. A standard market technique involves selling gilts to be paid for at an agreed date in the future rather than the normal next working day. It is proposed that the advance date is restricted to one month and the limit on the transaction(s) outstanding is £250m in total. </w:t>
      </w:r>
    </w:p>
    <w:p w:rsidR="00F23C9A" w:rsidRPr="00707E3B" w:rsidP="00F23C9A">
      <w:pPr>
        <w:rPr>
          <w:highlight w:val="yellow"/>
        </w:rPr>
      </w:pPr>
    </w:p>
    <w:p w:rsidR="00F23C9A" w:rsidRPr="00104A23" w:rsidP="00F23C9A">
      <w:pPr>
        <w:jc w:val="both"/>
        <w:rPr>
          <w:b/>
          <w:sz w:val="28"/>
          <w:szCs w:val="28"/>
        </w:rPr>
      </w:pPr>
      <w:r w:rsidRPr="00104A23">
        <w:rPr>
          <w:b/>
          <w:sz w:val="28"/>
          <w:szCs w:val="28"/>
        </w:rPr>
        <w:t xml:space="preserve">Impact on the </w:t>
      </w:r>
      <w:r>
        <w:rPr>
          <w:b/>
          <w:sz w:val="28"/>
          <w:szCs w:val="28"/>
        </w:rPr>
        <w:t>C</w:t>
      </w:r>
      <w:r w:rsidRPr="00104A23">
        <w:rPr>
          <w:b/>
          <w:sz w:val="28"/>
          <w:szCs w:val="28"/>
        </w:rPr>
        <w:t xml:space="preserve">ouncil's </w:t>
      </w:r>
      <w:r>
        <w:rPr>
          <w:b/>
          <w:sz w:val="28"/>
          <w:szCs w:val="28"/>
        </w:rPr>
        <w:t>R</w:t>
      </w:r>
      <w:r w:rsidRPr="00104A23">
        <w:rPr>
          <w:b/>
          <w:sz w:val="28"/>
          <w:szCs w:val="28"/>
        </w:rPr>
        <w:t xml:space="preserve">evenue </w:t>
      </w:r>
      <w:r>
        <w:rPr>
          <w:b/>
          <w:sz w:val="28"/>
          <w:szCs w:val="28"/>
        </w:rPr>
        <w:t>B</w:t>
      </w:r>
      <w:r w:rsidRPr="00104A23">
        <w:rPr>
          <w:b/>
          <w:sz w:val="28"/>
          <w:szCs w:val="28"/>
        </w:rPr>
        <w:t xml:space="preserve">udget </w:t>
      </w:r>
    </w:p>
    <w:p w:rsidR="00F23C9A" w:rsidRPr="00707E3B" w:rsidP="00F23C9A">
      <w:pPr>
        <w:jc w:val="both"/>
        <w:rPr>
          <w:highlight w:val="yellow"/>
        </w:rPr>
      </w:pPr>
    </w:p>
    <w:p w:rsidR="00F23C9A" w:rsidRPr="007F2E26" w:rsidP="00F23C9A">
      <w:pPr>
        <w:jc w:val="both"/>
      </w:pPr>
      <w:r w:rsidRPr="007F2E26">
        <w:t xml:space="preserve">With base rates at low levels, investment returns are likely to continue to be far lower than has previously been the case. However, in the knowledge that a portion of cash invested will not be required in the short term and to protect against continued low investment rates, investments may be made for longer time periods, depending on cash flow considerations and the prevailing market conditions. </w:t>
      </w:r>
    </w:p>
    <w:p w:rsidR="00F23C9A" w:rsidRPr="007F2E26" w:rsidP="00F23C9A">
      <w:pPr>
        <w:jc w:val="both"/>
      </w:pPr>
    </w:p>
    <w:p w:rsidR="00F23C9A" w:rsidRPr="007F2E26" w:rsidP="00F23C9A">
      <w:pPr>
        <w:jc w:val="both"/>
      </w:pPr>
      <w:r w:rsidRPr="007F2E26">
        <w:t xml:space="preserve">The performance target on investments is a return above the average rate for seven day notice money. </w:t>
      </w:r>
    </w:p>
    <w:p w:rsidR="00F23C9A" w:rsidRPr="007F2E26" w:rsidP="00F23C9A">
      <w:pPr>
        <w:jc w:val="both"/>
      </w:pPr>
    </w:p>
    <w:p w:rsidR="00F23C9A" w:rsidP="00F23C9A">
      <w:pPr>
        <w:jc w:val="both"/>
      </w:pPr>
      <w:r w:rsidRPr="007F2E26">
        <w:t>The following table outlines the budget for the financing charges element of the council's revenue budget</w:t>
      </w:r>
      <w:r>
        <w:t xml:space="preserve">, and this will be amended to </w:t>
      </w:r>
      <w:r w:rsidRPr="007F2E26">
        <w:t xml:space="preserve">reflect the </w:t>
      </w:r>
      <w:r>
        <w:t xml:space="preserve">council's approved </w:t>
      </w:r>
      <w:r w:rsidRPr="007F2E26">
        <w:t xml:space="preserve">Medium </w:t>
      </w:r>
      <w:r w:rsidRPr="007F2E26">
        <w:t xml:space="preserve">Term Financial Strategy. </w:t>
      </w:r>
      <w:r>
        <w:t>T</w:t>
      </w:r>
      <w:r w:rsidRPr="007F2E26">
        <w:t xml:space="preserve">he budgets will </w:t>
      </w:r>
      <w:r>
        <w:t xml:space="preserve">also </w:t>
      </w:r>
      <w:r w:rsidRPr="007F2E26">
        <w:t xml:space="preserve">be reviewed in light of </w:t>
      </w:r>
      <w:r>
        <w:t xml:space="preserve">any </w:t>
      </w:r>
      <w:r w:rsidRPr="007F2E26">
        <w:t xml:space="preserve">changes in the capital programme.  </w:t>
      </w:r>
    </w:p>
    <w:p w:rsidR="00BC19F8" w:rsidP="00F23C9A">
      <w:pPr>
        <w:jc w:val="both"/>
      </w:pPr>
    </w:p>
    <w:p w:rsidR="00F23C9A" w:rsidRPr="007F2E26" w:rsidP="00F23C9A">
      <w:pPr>
        <w:jc w:val="both"/>
      </w:pPr>
    </w:p>
    <w:tbl>
      <w:tblPr>
        <w:tblW w:w="9016" w:type="dxa"/>
        <w:tblLook w:val="04A0"/>
      </w:tblPr>
      <w:tblGrid>
        <w:gridCol w:w="3681"/>
        <w:gridCol w:w="1417"/>
        <w:gridCol w:w="1418"/>
        <w:gridCol w:w="1280"/>
        <w:gridCol w:w="1220"/>
      </w:tblGrid>
      <w:tr w:rsidTr="00F23C9A">
        <w:tblPrEx>
          <w:tblW w:w="9016" w:type="dxa"/>
          <w:tblLook w:val="04A0"/>
        </w:tblPrEx>
        <w:trPr>
          <w:trHeight w:val="285"/>
        </w:trPr>
        <w:tc>
          <w:tcPr>
            <w:tcW w:w="3681" w:type="dxa"/>
            <w:tcBorders>
              <w:top w:val="single" w:sz="4" w:space="0" w:color="auto"/>
              <w:left w:val="single" w:sz="4" w:space="0" w:color="auto"/>
              <w:right w:val="nil"/>
            </w:tcBorders>
            <w:shd w:val="clear" w:color="000000" w:fill="FFFFFF"/>
            <w:noWrap/>
            <w:vAlign w:val="bottom"/>
            <w:hideMark/>
          </w:tcPr>
          <w:p w:rsidR="00F23C9A" w:rsidRPr="007F2E26" w:rsidP="00F23C9A">
            <w:r w:rsidRPr="007F2E26">
              <w:t> </w:t>
            </w:r>
          </w:p>
        </w:tc>
        <w:tc>
          <w:tcPr>
            <w:tcW w:w="1417" w:type="dxa"/>
            <w:tcBorders>
              <w:top w:val="single" w:sz="4" w:space="0" w:color="auto"/>
              <w:left w:val="single" w:sz="4" w:space="0" w:color="auto"/>
              <w:right w:val="single" w:sz="4" w:space="0" w:color="auto"/>
            </w:tcBorders>
            <w:shd w:val="clear" w:color="000000" w:fill="FFFFFF"/>
            <w:noWrap/>
            <w:vAlign w:val="bottom"/>
            <w:hideMark/>
          </w:tcPr>
          <w:p w:rsidR="00F23C9A" w:rsidRPr="007F2E26" w:rsidP="00F23C9A">
            <w:pPr>
              <w:jc w:val="center"/>
            </w:pPr>
            <w:r w:rsidRPr="007F2E26">
              <w:t>Revenue Budget</w:t>
            </w:r>
          </w:p>
        </w:tc>
        <w:tc>
          <w:tcPr>
            <w:tcW w:w="1418" w:type="dxa"/>
            <w:tcBorders>
              <w:top w:val="single" w:sz="4" w:space="0" w:color="auto"/>
              <w:left w:val="nil"/>
              <w:right w:val="single" w:sz="4" w:space="0" w:color="auto"/>
            </w:tcBorders>
            <w:shd w:val="clear" w:color="000000" w:fill="FFFFFF"/>
            <w:noWrap/>
            <w:vAlign w:val="bottom"/>
            <w:hideMark/>
          </w:tcPr>
          <w:p w:rsidR="00F23C9A" w:rsidRPr="007F2E26" w:rsidP="00F23C9A">
            <w:pPr>
              <w:jc w:val="center"/>
            </w:pPr>
            <w:r w:rsidRPr="007F2E26">
              <w:t>Revenue Budget</w:t>
            </w:r>
          </w:p>
        </w:tc>
        <w:tc>
          <w:tcPr>
            <w:tcW w:w="1280" w:type="dxa"/>
            <w:tcBorders>
              <w:top w:val="single" w:sz="4" w:space="0" w:color="auto"/>
              <w:left w:val="nil"/>
              <w:right w:val="single" w:sz="4" w:space="0" w:color="auto"/>
            </w:tcBorders>
            <w:shd w:val="clear" w:color="000000" w:fill="FFFFFF"/>
            <w:noWrap/>
            <w:vAlign w:val="bottom"/>
            <w:hideMark/>
          </w:tcPr>
          <w:p w:rsidR="00F23C9A" w:rsidRPr="007F2E26" w:rsidP="00F23C9A">
            <w:pPr>
              <w:jc w:val="center"/>
            </w:pPr>
            <w:r w:rsidRPr="007F2E26">
              <w:t>Revenue Budget</w:t>
            </w:r>
          </w:p>
        </w:tc>
        <w:tc>
          <w:tcPr>
            <w:tcW w:w="1220" w:type="dxa"/>
            <w:tcBorders>
              <w:top w:val="single" w:sz="4" w:space="0" w:color="auto"/>
              <w:left w:val="nil"/>
              <w:right w:val="single" w:sz="4" w:space="0" w:color="auto"/>
            </w:tcBorders>
            <w:shd w:val="clear" w:color="000000" w:fill="FFFFFF"/>
            <w:noWrap/>
            <w:vAlign w:val="bottom"/>
            <w:hideMark/>
          </w:tcPr>
          <w:p w:rsidR="00F23C9A" w:rsidRPr="007F2E26" w:rsidP="00F23C9A">
            <w:pPr>
              <w:jc w:val="center"/>
            </w:pPr>
            <w:r w:rsidRPr="007F2E26">
              <w:t>Revenue Budget</w:t>
            </w:r>
          </w:p>
        </w:tc>
      </w:tr>
      <w:tr w:rsidTr="00F23C9A">
        <w:tblPrEx>
          <w:tblW w:w="9016" w:type="dxa"/>
          <w:tblLook w:val="04A0"/>
        </w:tblPrEx>
        <w:trPr>
          <w:trHeight w:val="285"/>
        </w:trPr>
        <w:tc>
          <w:tcPr>
            <w:tcW w:w="3681" w:type="dxa"/>
            <w:tcBorders>
              <w:top w:val="nil"/>
              <w:left w:val="single" w:sz="4" w:space="0" w:color="auto"/>
              <w:right w:val="nil"/>
            </w:tcBorders>
            <w:shd w:val="clear" w:color="000000" w:fill="FFFFFF"/>
            <w:noWrap/>
            <w:vAlign w:val="bottom"/>
            <w:hideMark/>
          </w:tcPr>
          <w:p w:rsidR="00F23C9A" w:rsidRPr="007F2E26" w:rsidP="00F23C9A">
            <w:r w:rsidRPr="007F2E26">
              <w:t> </w:t>
            </w:r>
          </w:p>
        </w:tc>
        <w:tc>
          <w:tcPr>
            <w:tcW w:w="1417" w:type="dxa"/>
            <w:tcBorders>
              <w:top w:val="nil"/>
              <w:left w:val="single" w:sz="4" w:space="0" w:color="auto"/>
              <w:right w:val="single" w:sz="4" w:space="0" w:color="auto"/>
            </w:tcBorders>
            <w:shd w:val="clear" w:color="000000" w:fill="FFFFFF"/>
            <w:noWrap/>
            <w:vAlign w:val="bottom"/>
            <w:hideMark/>
          </w:tcPr>
          <w:p w:rsidR="00F23C9A" w:rsidRPr="007F2E26" w:rsidP="00F23C9A">
            <w:pPr>
              <w:jc w:val="center"/>
            </w:pPr>
            <w:r w:rsidRPr="007F2E26">
              <w:t>20</w:t>
            </w:r>
            <w:r>
              <w:t>20</w:t>
            </w:r>
            <w:r w:rsidRPr="007F2E26">
              <w:t>/2</w:t>
            </w:r>
            <w:r>
              <w:t>1</w:t>
            </w:r>
          </w:p>
        </w:tc>
        <w:tc>
          <w:tcPr>
            <w:tcW w:w="1418" w:type="dxa"/>
            <w:tcBorders>
              <w:top w:val="nil"/>
              <w:left w:val="nil"/>
              <w:right w:val="single" w:sz="4" w:space="0" w:color="auto"/>
            </w:tcBorders>
            <w:shd w:val="clear" w:color="000000" w:fill="FFFFFF"/>
            <w:noWrap/>
            <w:vAlign w:val="bottom"/>
            <w:hideMark/>
          </w:tcPr>
          <w:p w:rsidR="00F23C9A" w:rsidRPr="007F2E26" w:rsidP="00F23C9A">
            <w:pPr>
              <w:jc w:val="center"/>
            </w:pPr>
            <w:r w:rsidRPr="007F2E26">
              <w:t>202</w:t>
            </w:r>
            <w:r>
              <w:t>1</w:t>
            </w:r>
            <w:r w:rsidRPr="007F2E26">
              <w:t>/2</w:t>
            </w:r>
            <w:r>
              <w:t>2</w:t>
            </w:r>
          </w:p>
        </w:tc>
        <w:tc>
          <w:tcPr>
            <w:tcW w:w="1280" w:type="dxa"/>
            <w:tcBorders>
              <w:top w:val="nil"/>
              <w:left w:val="nil"/>
              <w:right w:val="single" w:sz="4" w:space="0" w:color="auto"/>
            </w:tcBorders>
            <w:shd w:val="clear" w:color="000000" w:fill="FFFFFF"/>
            <w:noWrap/>
            <w:vAlign w:val="bottom"/>
            <w:hideMark/>
          </w:tcPr>
          <w:p w:rsidR="00F23C9A" w:rsidRPr="007F2E26" w:rsidP="00F23C9A">
            <w:pPr>
              <w:jc w:val="center"/>
            </w:pPr>
            <w:r w:rsidRPr="007F2E26">
              <w:t>202</w:t>
            </w:r>
            <w:r>
              <w:t>2</w:t>
            </w:r>
            <w:r w:rsidRPr="007F2E26">
              <w:t>/2</w:t>
            </w:r>
            <w:r>
              <w:t>3</w:t>
            </w:r>
          </w:p>
        </w:tc>
        <w:tc>
          <w:tcPr>
            <w:tcW w:w="1220" w:type="dxa"/>
            <w:tcBorders>
              <w:top w:val="nil"/>
              <w:left w:val="nil"/>
              <w:right w:val="single" w:sz="4" w:space="0" w:color="auto"/>
            </w:tcBorders>
            <w:shd w:val="clear" w:color="000000" w:fill="FFFFFF"/>
            <w:noWrap/>
            <w:vAlign w:val="bottom"/>
            <w:hideMark/>
          </w:tcPr>
          <w:p w:rsidR="00F23C9A" w:rsidRPr="007F2E26" w:rsidP="00F23C9A">
            <w:pPr>
              <w:jc w:val="center"/>
            </w:pPr>
            <w:r w:rsidRPr="007F2E26">
              <w:t>202</w:t>
            </w:r>
            <w:r>
              <w:t>3</w:t>
            </w:r>
            <w:r w:rsidRPr="007F2E26">
              <w:t>/2</w:t>
            </w:r>
            <w:r>
              <w:t>4</w:t>
            </w:r>
          </w:p>
        </w:tc>
      </w:tr>
      <w:tr w:rsidTr="00F23C9A">
        <w:tblPrEx>
          <w:tblW w:w="9016" w:type="dxa"/>
          <w:tblLook w:val="04A0"/>
        </w:tblPrEx>
        <w:trPr>
          <w:trHeight w:val="285"/>
        </w:trPr>
        <w:tc>
          <w:tcPr>
            <w:tcW w:w="3681" w:type="dxa"/>
            <w:tcBorders>
              <w:top w:val="nil"/>
              <w:left w:val="single" w:sz="4" w:space="0" w:color="auto"/>
              <w:bottom w:val="single" w:sz="4" w:space="0" w:color="auto"/>
              <w:right w:val="nil"/>
            </w:tcBorders>
            <w:shd w:val="clear" w:color="000000" w:fill="FFFFFF"/>
            <w:noWrap/>
            <w:vAlign w:val="bottom"/>
            <w:hideMark/>
          </w:tcPr>
          <w:p w:rsidR="00F23C9A" w:rsidRPr="007F2E26" w:rsidP="00F23C9A">
            <w:r w:rsidRPr="007F2E26">
              <w:t> </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F23C9A" w:rsidRPr="007F2E26">
            <w:pPr>
              <w:jc w:val="center"/>
            </w:pPr>
            <w:r w:rsidRPr="007F2E26">
              <w:t>£m</w:t>
            </w:r>
          </w:p>
        </w:tc>
        <w:tc>
          <w:tcPr>
            <w:tcW w:w="1418" w:type="dxa"/>
            <w:tcBorders>
              <w:top w:val="nil"/>
              <w:left w:val="nil"/>
              <w:bottom w:val="single" w:sz="4" w:space="0" w:color="auto"/>
              <w:right w:val="single" w:sz="4" w:space="0" w:color="auto"/>
            </w:tcBorders>
            <w:shd w:val="clear" w:color="000000" w:fill="FFFFFF"/>
            <w:noWrap/>
            <w:vAlign w:val="bottom"/>
            <w:hideMark/>
          </w:tcPr>
          <w:p w:rsidR="00F23C9A" w:rsidRPr="007F2E26">
            <w:pPr>
              <w:jc w:val="center"/>
            </w:pPr>
            <w:r w:rsidRPr="007F2E26">
              <w:t>£m</w:t>
            </w:r>
          </w:p>
        </w:tc>
        <w:tc>
          <w:tcPr>
            <w:tcW w:w="1280" w:type="dxa"/>
            <w:tcBorders>
              <w:top w:val="nil"/>
              <w:left w:val="nil"/>
              <w:bottom w:val="single" w:sz="4" w:space="0" w:color="auto"/>
              <w:right w:val="single" w:sz="4" w:space="0" w:color="auto"/>
            </w:tcBorders>
            <w:shd w:val="clear" w:color="000000" w:fill="FFFFFF"/>
            <w:noWrap/>
            <w:vAlign w:val="bottom"/>
            <w:hideMark/>
          </w:tcPr>
          <w:p w:rsidR="00F23C9A" w:rsidRPr="007F2E26">
            <w:pPr>
              <w:jc w:val="center"/>
            </w:pPr>
            <w:r w:rsidRPr="007F2E26">
              <w:t>£m</w:t>
            </w:r>
          </w:p>
        </w:tc>
        <w:tc>
          <w:tcPr>
            <w:tcW w:w="1220" w:type="dxa"/>
            <w:tcBorders>
              <w:top w:val="nil"/>
              <w:left w:val="nil"/>
              <w:bottom w:val="single" w:sz="4" w:space="0" w:color="auto"/>
              <w:right w:val="single" w:sz="4" w:space="0" w:color="auto"/>
            </w:tcBorders>
            <w:shd w:val="clear" w:color="000000" w:fill="FFFFFF"/>
            <w:noWrap/>
            <w:vAlign w:val="bottom"/>
            <w:hideMark/>
          </w:tcPr>
          <w:p w:rsidR="00F23C9A" w:rsidRPr="007F2E26">
            <w:pPr>
              <w:jc w:val="center"/>
            </w:pPr>
            <w:r w:rsidRPr="007F2E26">
              <w:t>£m</w:t>
            </w:r>
          </w:p>
        </w:tc>
      </w:tr>
      <w:tr w:rsidTr="00F23C9A">
        <w:tblPrEx>
          <w:tblW w:w="9016" w:type="dxa"/>
          <w:tblLook w:val="04A0"/>
        </w:tblPrEx>
        <w:trPr>
          <w:trHeight w:val="285"/>
        </w:trPr>
        <w:tc>
          <w:tcPr>
            <w:tcW w:w="3681" w:type="dxa"/>
            <w:tcBorders>
              <w:top w:val="single" w:sz="4" w:space="0" w:color="auto"/>
              <w:left w:val="single" w:sz="4" w:space="0" w:color="auto"/>
              <w:bottom w:val="single" w:sz="4" w:space="0" w:color="auto"/>
              <w:right w:val="nil"/>
            </w:tcBorders>
            <w:shd w:val="clear" w:color="000000" w:fill="FFFFFF"/>
            <w:noWrap/>
            <w:vAlign w:val="bottom"/>
            <w:hideMark/>
          </w:tcPr>
          <w:p w:rsidR="00F23C9A" w:rsidRPr="007F2E26" w:rsidP="00F23C9A">
            <w:r w:rsidRPr="007F2E26">
              <w:t xml:space="preserve">Minimum Revenue Provision </w:t>
            </w:r>
          </w:p>
        </w:tc>
        <w:tc>
          <w:tcPr>
            <w:tcW w:w="1417" w:type="dxa"/>
            <w:tcBorders>
              <w:top w:val="single" w:sz="4" w:space="0" w:color="auto"/>
              <w:left w:val="single" w:sz="4" w:space="0" w:color="auto"/>
              <w:bottom w:val="single" w:sz="4" w:space="0" w:color="auto"/>
              <w:right w:val="nil"/>
            </w:tcBorders>
            <w:shd w:val="clear" w:color="000000" w:fill="FFFFFF"/>
            <w:noWrap/>
            <w:vAlign w:val="bottom"/>
          </w:tcPr>
          <w:p w:rsidR="00F23C9A" w:rsidRPr="00E30026" w:rsidP="00F23C9A">
            <w:pPr>
              <w:jc w:val="center"/>
            </w:pPr>
            <w:r w:rsidRPr="00E30026">
              <w:t>15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23C9A" w:rsidRPr="00E30026" w:rsidP="00F23C9A">
            <w:pPr>
              <w:jc w:val="center"/>
            </w:pPr>
            <w:r w:rsidRPr="00E30026">
              <w:t>19</w:t>
            </w:r>
          </w:p>
        </w:tc>
        <w:tc>
          <w:tcPr>
            <w:tcW w:w="1280" w:type="dxa"/>
            <w:tcBorders>
              <w:top w:val="single" w:sz="4" w:space="0" w:color="auto"/>
              <w:left w:val="nil"/>
              <w:bottom w:val="single" w:sz="4" w:space="0" w:color="auto"/>
              <w:right w:val="single" w:sz="4" w:space="0" w:color="auto"/>
            </w:tcBorders>
            <w:shd w:val="clear" w:color="000000" w:fill="FFFFFF"/>
            <w:noWrap/>
            <w:vAlign w:val="bottom"/>
          </w:tcPr>
          <w:p w:rsidR="00F23C9A" w:rsidRPr="00E30026" w:rsidP="00F23C9A">
            <w:pPr>
              <w:jc w:val="center"/>
            </w:pPr>
            <w:r w:rsidRPr="00E30026">
              <w:t>21</w:t>
            </w:r>
          </w:p>
        </w:tc>
        <w:tc>
          <w:tcPr>
            <w:tcW w:w="1220" w:type="dxa"/>
            <w:tcBorders>
              <w:top w:val="single" w:sz="4" w:space="0" w:color="auto"/>
              <w:left w:val="nil"/>
              <w:bottom w:val="single" w:sz="4" w:space="0" w:color="auto"/>
              <w:right w:val="single" w:sz="4" w:space="0" w:color="auto"/>
            </w:tcBorders>
            <w:shd w:val="clear" w:color="000000" w:fill="FFFFFF"/>
            <w:noWrap/>
            <w:vAlign w:val="bottom"/>
          </w:tcPr>
          <w:p w:rsidR="00F23C9A" w:rsidRPr="00E30026">
            <w:pPr>
              <w:jc w:val="center"/>
            </w:pPr>
            <w:r w:rsidRPr="00E30026">
              <w:t>2</w:t>
            </w:r>
            <w:r>
              <w:t>1</w:t>
            </w:r>
          </w:p>
        </w:tc>
      </w:tr>
      <w:tr w:rsidTr="00F23C9A">
        <w:tblPrEx>
          <w:tblW w:w="9016" w:type="dxa"/>
          <w:tblLook w:val="04A0"/>
        </w:tblPrEx>
        <w:trPr>
          <w:trHeight w:val="285"/>
        </w:trPr>
        <w:tc>
          <w:tcPr>
            <w:tcW w:w="3681" w:type="dxa"/>
            <w:tcBorders>
              <w:top w:val="single" w:sz="4" w:space="0" w:color="auto"/>
              <w:left w:val="single" w:sz="4" w:space="0" w:color="auto"/>
              <w:bottom w:val="single" w:sz="4" w:space="0" w:color="auto"/>
              <w:right w:val="nil"/>
            </w:tcBorders>
            <w:shd w:val="clear" w:color="000000" w:fill="FFFFFF"/>
            <w:noWrap/>
            <w:vAlign w:val="bottom"/>
            <w:hideMark/>
          </w:tcPr>
          <w:p w:rsidR="00F23C9A" w:rsidRPr="007F2E26" w:rsidP="00F23C9A">
            <w:r w:rsidRPr="007F2E26">
              <w:t>Interest paid</w:t>
            </w:r>
          </w:p>
        </w:tc>
        <w:tc>
          <w:tcPr>
            <w:tcW w:w="1417" w:type="dxa"/>
            <w:tcBorders>
              <w:top w:val="single" w:sz="4" w:space="0" w:color="auto"/>
              <w:left w:val="single" w:sz="4" w:space="0" w:color="auto"/>
              <w:bottom w:val="single" w:sz="4" w:space="0" w:color="auto"/>
              <w:right w:val="nil"/>
            </w:tcBorders>
            <w:shd w:val="clear" w:color="000000" w:fill="FFFFFF"/>
            <w:noWrap/>
            <w:vAlign w:val="bottom"/>
          </w:tcPr>
          <w:p w:rsidR="00F23C9A" w:rsidRPr="00E30026" w:rsidP="00F23C9A">
            <w:pPr>
              <w:jc w:val="center"/>
            </w:pPr>
            <w:r w:rsidRPr="00E30026">
              <w:t>25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23C9A" w:rsidRPr="00E30026" w:rsidP="00F23C9A">
            <w:pPr>
              <w:jc w:val="center"/>
            </w:pPr>
            <w:r w:rsidRPr="00E30026">
              <w:t>27</w:t>
            </w:r>
          </w:p>
        </w:tc>
        <w:tc>
          <w:tcPr>
            <w:tcW w:w="1280" w:type="dxa"/>
            <w:tcBorders>
              <w:top w:val="single" w:sz="4" w:space="0" w:color="auto"/>
              <w:left w:val="nil"/>
              <w:bottom w:val="single" w:sz="4" w:space="0" w:color="auto"/>
              <w:right w:val="single" w:sz="4" w:space="0" w:color="auto"/>
            </w:tcBorders>
            <w:shd w:val="clear" w:color="000000" w:fill="FFFFFF"/>
            <w:noWrap/>
            <w:vAlign w:val="bottom"/>
          </w:tcPr>
          <w:p w:rsidR="00F23C9A" w:rsidRPr="00E30026" w:rsidP="00F23C9A">
            <w:pPr>
              <w:jc w:val="center"/>
            </w:pPr>
            <w:r w:rsidRPr="00E30026">
              <w:t>26</w:t>
            </w:r>
          </w:p>
        </w:tc>
        <w:tc>
          <w:tcPr>
            <w:tcW w:w="1220" w:type="dxa"/>
            <w:tcBorders>
              <w:top w:val="single" w:sz="4" w:space="0" w:color="auto"/>
              <w:left w:val="nil"/>
              <w:bottom w:val="single" w:sz="4" w:space="0" w:color="auto"/>
              <w:right w:val="single" w:sz="4" w:space="0" w:color="auto"/>
            </w:tcBorders>
            <w:shd w:val="clear" w:color="000000" w:fill="FFFFFF"/>
            <w:noWrap/>
            <w:vAlign w:val="bottom"/>
          </w:tcPr>
          <w:p w:rsidR="00F23C9A" w:rsidRPr="00E30026" w:rsidP="00F23C9A">
            <w:pPr>
              <w:jc w:val="center"/>
            </w:pPr>
            <w:r w:rsidRPr="00E30026">
              <w:t>26</w:t>
            </w:r>
          </w:p>
        </w:tc>
      </w:tr>
      <w:tr w:rsidTr="00F23C9A">
        <w:tblPrEx>
          <w:tblW w:w="9016" w:type="dxa"/>
          <w:tblLook w:val="04A0"/>
        </w:tblPrEx>
        <w:trPr>
          <w:trHeight w:val="285"/>
        </w:trPr>
        <w:tc>
          <w:tcPr>
            <w:tcW w:w="3681" w:type="dxa"/>
            <w:tcBorders>
              <w:top w:val="single" w:sz="4" w:space="0" w:color="auto"/>
              <w:left w:val="single" w:sz="4" w:space="0" w:color="auto"/>
              <w:bottom w:val="single" w:sz="4" w:space="0" w:color="auto"/>
              <w:right w:val="nil"/>
            </w:tcBorders>
            <w:shd w:val="clear" w:color="000000" w:fill="FFFFFF"/>
            <w:noWrap/>
            <w:vAlign w:val="bottom"/>
            <w:hideMark/>
          </w:tcPr>
          <w:p w:rsidR="00F23C9A" w:rsidRPr="007F2E26" w:rsidP="00F23C9A">
            <w:r w:rsidRPr="007F2E26">
              <w:t>Interest and other income earned</w:t>
            </w:r>
          </w:p>
        </w:tc>
        <w:tc>
          <w:tcPr>
            <w:tcW w:w="1417" w:type="dxa"/>
            <w:tcBorders>
              <w:top w:val="single" w:sz="4" w:space="0" w:color="auto"/>
              <w:left w:val="single" w:sz="4" w:space="0" w:color="auto"/>
              <w:bottom w:val="single" w:sz="4" w:space="0" w:color="auto"/>
              <w:right w:val="nil"/>
            </w:tcBorders>
            <w:shd w:val="clear" w:color="000000" w:fill="FFFFFF"/>
            <w:noWrap/>
            <w:vAlign w:val="bottom"/>
          </w:tcPr>
          <w:p w:rsidR="00F23C9A" w:rsidRPr="00E30026" w:rsidP="00F23C9A">
            <w:pPr>
              <w:jc w:val="center"/>
            </w:pPr>
            <w:r w:rsidRPr="00E30026">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23C9A" w:rsidRPr="00E30026">
            <w:pPr>
              <w:jc w:val="center"/>
            </w:pPr>
            <w:r w:rsidRPr="00E30026">
              <w:t>-1</w:t>
            </w:r>
            <w:r>
              <w:t>5</w:t>
            </w:r>
          </w:p>
        </w:tc>
        <w:tc>
          <w:tcPr>
            <w:tcW w:w="1280" w:type="dxa"/>
            <w:tcBorders>
              <w:top w:val="single" w:sz="4" w:space="0" w:color="auto"/>
              <w:left w:val="nil"/>
              <w:bottom w:val="single" w:sz="4" w:space="0" w:color="auto"/>
              <w:right w:val="single" w:sz="4" w:space="0" w:color="auto"/>
            </w:tcBorders>
            <w:shd w:val="clear" w:color="000000" w:fill="FFFFFF"/>
            <w:noWrap/>
            <w:vAlign w:val="bottom"/>
          </w:tcPr>
          <w:p w:rsidR="00F23C9A" w:rsidRPr="00E30026">
            <w:pPr>
              <w:jc w:val="center"/>
            </w:pPr>
            <w:r w:rsidRPr="00E30026">
              <w:t>-1</w:t>
            </w:r>
            <w:r>
              <w:t>5</w:t>
            </w:r>
          </w:p>
        </w:tc>
        <w:tc>
          <w:tcPr>
            <w:tcW w:w="1220" w:type="dxa"/>
            <w:tcBorders>
              <w:top w:val="single" w:sz="4" w:space="0" w:color="auto"/>
              <w:left w:val="nil"/>
              <w:bottom w:val="single" w:sz="4" w:space="0" w:color="auto"/>
              <w:right w:val="single" w:sz="4" w:space="0" w:color="auto"/>
            </w:tcBorders>
            <w:shd w:val="clear" w:color="000000" w:fill="FFFFFF"/>
            <w:noWrap/>
            <w:vAlign w:val="bottom"/>
          </w:tcPr>
          <w:p w:rsidR="00F23C9A" w:rsidRPr="00E30026">
            <w:pPr>
              <w:jc w:val="center"/>
            </w:pPr>
            <w:r w:rsidRPr="00E30026">
              <w:t>-1</w:t>
            </w:r>
            <w:r>
              <w:t>5</w:t>
            </w:r>
          </w:p>
        </w:tc>
      </w:tr>
      <w:tr w:rsidTr="00F23C9A">
        <w:tblPrEx>
          <w:tblW w:w="9016" w:type="dxa"/>
          <w:tblLook w:val="04A0"/>
        </w:tblPrEx>
        <w:trPr>
          <w:trHeight w:val="285"/>
        </w:trPr>
        <w:tc>
          <w:tcPr>
            <w:tcW w:w="3681" w:type="dxa"/>
            <w:tcBorders>
              <w:top w:val="single" w:sz="4" w:space="0" w:color="auto"/>
              <w:left w:val="single" w:sz="4" w:space="0" w:color="auto"/>
              <w:bottom w:val="single" w:sz="4" w:space="0" w:color="auto"/>
              <w:right w:val="nil"/>
            </w:tcBorders>
            <w:shd w:val="clear" w:color="auto" w:fill="DBEEF3" w:themeFill="accent5" w:themeFillTint="33"/>
            <w:noWrap/>
            <w:vAlign w:val="bottom"/>
            <w:hideMark/>
          </w:tcPr>
          <w:p w:rsidR="00F23C9A" w:rsidRPr="007F2E26" w:rsidP="00F23C9A">
            <w:r w:rsidRPr="007F2E26">
              <w:t>Total</w:t>
            </w:r>
          </w:p>
        </w:tc>
        <w:tc>
          <w:tcPr>
            <w:tcW w:w="1417" w:type="dxa"/>
            <w:tcBorders>
              <w:top w:val="single" w:sz="4" w:space="0" w:color="auto"/>
              <w:left w:val="single" w:sz="4" w:space="0" w:color="auto"/>
              <w:bottom w:val="single" w:sz="4" w:space="0" w:color="auto"/>
              <w:right w:val="nil"/>
            </w:tcBorders>
            <w:shd w:val="clear" w:color="auto" w:fill="DBEEF3" w:themeFill="accent5" w:themeFillTint="33"/>
            <w:noWrap/>
            <w:vAlign w:val="bottom"/>
          </w:tcPr>
          <w:p w:rsidR="00F23C9A" w:rsidRPr="007F2E26" w:rsidP="00F23C9A">
            <w:pPr>
              <w:jc w:val="center"/>
            </w:pPr>
            <w:r w:rsidRPr="007F2E26">
              <w:t>26</w:t>
            </w:r>
          </w:p>
        </w:tc>
        <w:tc>
          <w:tcPr>
            <w:tcW w:w="1418" w:type="dxa"/>
            <w:tcBorders>
              <w:top w:val="single" w:sz="4" w:space="0" w:color="auto"/>
              <w:left w:val="single" w:sz="4" w:space="0" w:color="auto"/>
              <w:bottom w:val="single" w:sz="4" w:space="0" w:color="auto"/>
              <w:right w:val="single" w:sz="4" w:space="0" w:color="auto"/>
            </w:tcBorders>
            <w:shd w:val="clear" w:color="auto" w:fill="DBEEF3" w:themeFill="accent5" w:themeFillTint="33"/>
            <w:noWrap/>
            <w:vAlign w:val="bottom"/>
          </w:tcPr>
          <w:p w:rsidR="00F23C9A" w:rsidRPr="007F2E26">
            <w:pPr>
              <w:jc w:val="center"/>
            </w:pPr>
            <w:r>
              <w:t>31</w:t>
            </w:r>
          </w:p>
        </w:tc>
        <w:tc>
          <w:tcPr>
            <w:tcW w:w="1280" w:type="dxa"/>
            <w:tcBorders>
              <w:top w:val="single" w:sz="4" w:space="0" w:color="auto"/>
              <w:left w:val="nil"/>
              <w:bottom w:val="single" w:sz="4" w:space="0" w:color="auto"/>
              <w:right w:val="single" w:sz="4" w:space="0" w:color="auto"/>
            </w:tcBorders>
            <w:shd w:val="clear" w:color="auto" w:fill="DBEEF3" w:themeFill="accent5" w:themeFillTint="33"/>
            <w:noWrap/>
            <w:vAlign w:val="bottom"/>
          </w:tcPr>
          <w:p w:rsidR="00F23C9A" w:rsidRPr="007F2E26">
            <w:pPr>
              <w:jc w:val="center"/>
            </w:pPr>
            <w:r>
              <w:t>32</w:t>
            </w:r>
          </w:p>
        </w:tc>
        <w:tc>
          <w:tcPr>
            <w:tcW w:w="1220" w:type="dxa"/>
            <w:tcBorders>
              <w:top w:val="single" w:sz="4" w:space="0" w:color="auto"/>
              <w:left w:val="nil"/>
              <w:bottom w:val="single" w:sz="4" w:space="0" w:color="auto"/>
              <w:right w:val="single" w:sz="4" w:space="0" w:color="auto"/>
            </w:tcBorders>
            <w:shd w:val="clear" w:color="auto" w:fill="DBEEF3" w:themeFill="accent5" w:themeFillTint="33"/>
            <w:noWrap/>
            <w:vAlign w:val="bottom"/>
          </w:tcPr>
          <w:p w:rsidR="00F23C9A" w:rsidRPr="007F2E26">
            <w:pPr>
              <w:jc w:val="center"/>
            </w:pPr>
            <w:r w:rsidRPr="007F2E26">
              <w:t>3</w:t>
            </w:r>
            <w:r>
              <w:t>2</w:t>
            </w:r>
          </w:p>
        </w:tc>
      </w:tr>
    </w:tbl>
    <w:p w:rsidR="00F23C9A" w:rsidRPr="007F2E26" w:rsidP="00F23C9A">
      <w:pPr>
        <w:jc w:val="both"/>
      </w:pPr>
    </w:p>
    <w:p w:rsidR="00F23C9A" w:rsidRPr="007F2E26" w:rsidP="00F23C9A">
      <w:pPr>
        <w:jc w:val="both"/>
      </w:pPr>
      <w:r w:rsidRPr="007F2E26">
        <w:t>The revenue budget above reflects a position which takes account of the views of both internal and external advisers, particularly in relation to interest rate movements. The position will be closely monitored by the Director of Finance and any changes will be reflected in forecasts presented to Cabinet.</w:t>
      </w:r>
    </w:p>
    <w:p w:rsidR="00F23C9A" w:rsidRPr="00707E3B" w:rsidP="00F23C9A">
      <w:pPr>
        <w:jc w:val="both"/>
        <w:rPr>
          <w:highlight w:val="yellow"/>
        </w:rPr>
      </w:pPr>
    </w:p>
    <w:p w:rsidR="00F23C9A" w:rsidRPr="006B77F3" w:rsidP="00F23C9A">
      <w:pPr>
        <w:spacing w:after="240"/>
        <w:jc w:val="both"/>
        <w:rPr>
          <w:b/>
          <w:bCs/>
          <w:sz w:val="28"/>
          <w:szCs w:val="28"/>
        </w:rPr>
      </w:pPr>
      <w:r w:rsidRPr="006B77F3">
        <w:rPr>
          <w:b/>
          <w:bCs/>
          <w:sz w:val="28"/>
          <w:szCs w:val="28"/>
        </w:rPr>
        <w:t>Treasury Management Indicators</w:t>
      </w:r>
    </w:p>
    <w:p w:rsidR="00F23C9A" w:rsidRPr="006B77F3" w:rsidP="00F23C9A">
      <w:pPr>
        <w:spacing w:after="240"/>
        <w:jc w:val="both"/>
        <w:rPr>
          <w:b/>
          <w:bCs/>
        </w:rPr>
      </w:pPr>
      <w:r w:rsidRPr="006B77F3">
        <w:rPr>
          <w:bCs/>
        </w:rPr>
        <w:t xml:space="preserve">In line with the relevant legislation the county council has adopted the Prudential Code for Capital Finance in Local Authorities and the Treasury Management in the Public Services Code of Practice (2017) as setting the framework of principles for its treasury management activities. In accordance with the requirements of these codes the council produces each year prudential indicators which provide a framework for the prudent management of its treasury management including limits with regard to certain types of activity such as borrowing. The indicators below are a consequence of the activities set out within the treasury management strategy. </w:t>
      </w:r>
      <w:r w:rsidRPr="006B77F3">
        <w:rPr>
          <w:b/>
          <w:bCs/>
        </w:rPr>
        <w:t xml:space="preserve"> </w:t>
      </w:r>
    </w:p>
    <w:p w:rsidR="00F23C9A" w:rsidRPr="006B77F3" w:rsidP="00F23C9A">
      <w:pPr>
        <w:jc w:val="both"/>
        <w:rPr>
          <w:b/>
          <w:bCs/>
          <w:i/>
        </w:rPr>
      </w:pPr>
      <w:r w:rsidRPr="006B77F3">
        <w:rPr>
          <w:b/>
          <w:bCs/>
          <w:i/>
        </w:rPr>
        <w:t>Authorised and operational Limits for debt</w:t>
      </w:r>
    </w:p>
    <w:p w:rsidR="00F23C9A" w:rsidRPr="006B77F3" w:rsidP="00F23C9A">
      <w:pPr>
        <w:jc w:val="both"/>
        <w:rPr>
          <w:b/>
          <w:bCs/>
          <w:i/>
        </w:rPr>
      </w:pPr>
    </w:p>
    <w:p w:rsidR="00F23C9A" w:rsidP="00F23C9A">
      <w:pPr>
        <w:jc w:val="both"/>
      </w:pPr>
      <w:r w:rsidRPr="006B77F3">
        <w:t>The 'authorised limit' is a prudent estimate of external debt, but allows sufficient headroom for unusual cash flow movements. Taking into account the capital plans and estimates of cash flow and its risks, the authorised limits for external debt are as follows:</w:t>
      </w:r>
    </w:p>
    <w:p w:rsidR="00F23C9A" w:rsidRPr="006B77F3" w:rsidP="00F23C9A">
      <w:pPr>
        <w:jc w:val="both"/>
      </w:pPr>
    </w:p>
    <w:tbl>
      <w:tblPr>
        <w:tblW w:w="8931" w:type="dxa"/>
        <w:tblLook w:val="04A0"/>
      </w:tblPr>
      <w:tblGrid>
        <w:gridCol w:w="2977"/>
        <w:gridCol w:w="1559"/>
        <w:gridCol w:w="1560"/>
        <w:gridCol w:w="1417"/>
        <w:gridCol w:w="1418"/>
      </w:tblGrid>
      <w:tr w:rsidTr="00F23C9A">
        <w:tblPrEx>
          <w:tblW w:w="8931" w:type="dxa"/>
          <w:tblLook w:val="04A0"/>
        </w:tblPrEx>
        <w:trPr>
          <w:trHeight w:val="300"/>
        </w:trPr>
        <w:tc>
          <w:tcPr>
            <w:tcW w:w="2977" w:type="dxa"/>
            <w:tcBorders>
              <w:top w:val="nil"/>
              <w:left w:val="nil"/>
              <w:bottom w:val="nil"/>
              <w:right w:val="nil"/>
            </w:tcBorders>
            <w:shd w:val="clear" w:color="auto" w:fill="auto"/>
            <w:noWrap/>
            <w:vAlign w:val="bottom"/>
            <w:hideMark/>
          </w:tcPr>
          <w:p w:rsidR="00F23C9A" w:rsidRPr="00D006D1" w:rsidP="00F23C9A"/>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C9A" w:rsidRPr="00D006D1" w:rsidP="00F23C9A">
            <w:pPr>
              <w:jc w:val="center"/>
              <w:rPr>
                <w:color w:val="000000"/>
              </w:rPr>
            </w:pPr>
            <w:r w:rsidRPr="00D006D1">
              <w:rPr>
                <w:color w:val="000000"/>
              </w:rPr>
              <w:t>2020/21 Revised</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23C9A" w:rsidRPr="00D006D1" w:rsidP="00F23C9A">
            <w:pPr>
              <w:jc w:val="center"/>
              <w:rPr>
                <w:color w:val="000000"/>
              </w:rPr>
            </w:pPr>
            <w:r w:rsidRPr="00D006D1">
              <w:rPr>
                <w:color w:val="000000"/>
              </w:rPr>
              <w:t>202</w:t>
            </w:r>
            <w:r>
              <w:rPr>
                <w:color w:val="000000"/>
              </w:rPr>
              <w:t>1</w:t>
            </w:r>
            <w:r w:rsidRPr="00D006D1">
              <w:rPr>
                <w:color w:val="000000"/>
              </w:rPr>
              <w:t>/22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3C9A" w:rsidRPr="00D006D1" w:rsidP="00F23C9A">
            <w:pPr>
              <w:jc w:val="center"/>
              <w:rPr>
                <w:color w:val="000000"/>
              </w:rPr>
            </w:pPr>
            <w:r w:rsidRPr="00D006D1">
              <w:rPr>
                <w:color w:val="000000"/>
              </w:rPr>
              <w:t>2022/23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23C9A" w:rsidRPr="00D006D1" w:rsidP="00F23C9A">
            <w:pPr>
              <w:jc w:val="center"/>
              <w:rPr>
                <w:color w:val="000000"/>
              </w:rPr>
            </w:pPr>
            <w:r w:rsidRPr="00D006D1">
              <w:rPr>
                <w:color w:val="000000"/>
              </w:rPr>
              <w:t>2023/24</w:t>
            </w:r>
          </w:p>
        </w:tc>
      </w:tr>
      <w:tr w:rsidTr="00F23C9A">
        <w:tblPrEx>
          <w:tblW w:w="8931" w:type="dxa"/>
          <w:tblLook w:val="04A0"/>
        </w:tblPrEx>
        <w:trPr>
          <w:trHeight w:val="300"/>
        </w:trPr>
        <w:tc>
          <w:tcPr>
            <w:tcW w:w="2977" w:type="dxa"/>
            <w:tcBorders>
              <w:top w:val="nil"/>
              <w:left w:val="nil"/>
              <w:bottom w:val="nil"/>
              <w:right w:val="nil"/>
            </w:tcBorders>
            <w:shd w:val="clear" w:color="auto" w:fill="auto"/>
            <w:noWrap/>
            <w:vAlign w:val="bottom"/>
            <w:hideMark/>
          </w:tcPr>
          <w:p w:rsidR="00F23C9A" w:rsidRPr="00D006D1" w:rsidP="00F23C9A">
            <w:pPr>
              <w:rPr>
                <w:color w:val="000000"/>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23C9A" w:rsidRPr="00D006D1" w:rsidP="00F23C9A">
            <w:pPr>
              <w:jc w:val="center"/>
              <w:rPr>
                <w:color w:val="000000"/>
              </w:rPr>
            </w:pPr>
            <w:r w:rsidRPr="00D006D1">
              <w:rPr>
                <w:color w:val="000000"/>
              </w:rPr>
              <w:t>£m</w:t>
            </w:r>
          </w:p>
        </w:tc>
        <w:tc>
          <w:tcPr>
            <w:tcW w:w="1560" w:type="dxa"/>
            <w:tcBorders>
              <w:top w:val="nil"/>
              <w:left w:val="nil"/>
              <w:bottom w:val="single" w:sz="4" w:space="0" w:color="auto"/>
              <w:right w:val="single" w:sz="4" w:space="0" w:color="auto"/>
            </w:tcBorders>
            <w:shd w:val="clear" w:color="auto" w:fill="auto"/>
            <w:noWrap/>
            <w:vAlign w:val="bottom"/>
            <w:hideMark/>
          </w:tcPr>
          <w:p w:rsidR="00F23C9A" w:rsidRPr="00D006D1" w:rsidP="00F23C9A">
            <w:pPr>
              <w:jc w:val="center"/>
              <w:rPr>
                <w:color w:val="000000"/>
              </w:rPr>
            </w:pPr>
            <w:r w:rsidRPr="00D006D1">
              <w:rPr>
                <w:color w:val="000000"/>
              </w:rPr>
              <w:t>£m</w:t>
            </w:r>
          </w:p>
        </w:tc>
        <w:tc>
          <w:tcPr>
            <w:tcW w:w="1417" w:type="dxa"/>
            <w:tcBorders>
              <w:top w:val="nil"/>
              <w:left w:val="nil"/>
              <w:bottom w:val="single" w:sz="4" w:space="0" w:color="auto"/>
              <w:right w:val="single" w:sz="4" w:space="0" w:color="auto"/>
            </w:tcBorders>
            <w:shd w:val="clear" w:color="auto" w:fill="auto"/>
            <w:noWrap/>
            <w:vAlign w:val="bottom"/>
            <w:hideMark/>
          </w:tcPr>
          <w:p w:rsidR="00F23C9A" w:rsidRPr="00D006D1" w:rsidP="00F23C9A">
            <w:pPr>
              <w:jc w:val="center"/>
              <w:rPr>
                <w:color w:val="000000"/>
              </w:rPr>
            </w:pPr>
            <w:r w:rsidRPr="00D006D1">
              <w:rPr>
                <w:color w:val="000000"/>
              </w:rPr>
              <w:t>£m</w:t>
            </w:r>
          </w:p>
        </w:tc>
        <w:tc>
          <w:tcPr>
            <w:tcW w:w="1418" w:type="dxa"/>
            <w:tcBorders>
              <w:top w:val="nil"/>
              <w:left w:val="nil"/>
              <w:bottom w:val="single" w:sz="4" w:space="0" w:color="auto"/>
              <w:right w:val="single" w:sz="4" w:space="0" w:color="auto"/>
            </w:tcBorders>
            <w:shd w:val="clear" w:color="auto" w:fill="auto"/>
            <w:noWrap/>
            <w:vAlign w:val="bottom"/>
            <w:hideMark/>
          </w:tcPr>
          <w:p w:rsidR="00F23C9A" w:rsidRPr="00D006D1" w:rsidP="00F23C9A">
            <w:pPr>
              <w:jc w:val="center"/>
              <w:rPr>
                <w:color w:val="000000"/>
              </w:rPr>
            </w:pPr>
            <w:r w:rsidRPr="00D006D1">
              <w:rPr>
                <w:color w:val="000000"/>
              </w:rPr>
              <w:t>£m</w:t>
            </w:r>
          </w:p>
        </w:tc>
      </w:tr>
      <w:tr w:rsidTr="00F23C9A">
        <w:tblPrEx>
          <w:tblW w:w="8931" w:type="dxa"/>
          <w:tblLook w:val="04A0"/>
        </w:tblPrEx>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C9A" w:rsidRPr="00D006D1" w:rsidP="00F23C9A">
            <w:pPr>
              <w:rPr>
                <w:color w:val="000000"/>
              </w:rPr>
            </w:pPr>
            <w:r w:rsidRPr="00D006D1">
              <w:rPr>
                <w:color w:val="000000"/>
              </w:rPr>
              <w:t>Borrowing</w:t>
            </w:r>
          </w:p>
        </w:tc>
        <w:tc>
          <w:tcPr>
            <w:tcW w:w="1559" w:type="dxa"/>
            <w:tcBorders>
              <w:top w:val="nil"/>
              <w:left w:val="nil"/>
              <w:bottom w:val="single" w:sz="4" w:space="0" w:color="auto"/>
              <w:right w:val="single" w:sz="4" w:space="0" w:color="auto"/>
            </w:tcBorders>
            <w:shd w:val="clear" w:color="auto" w:fill="auto"/>
            <w:noWrap/>
            <w:vAlign w:val="bottom"/>
          </w:tcPr>
          <w:p w:rsidR="00F23C9A" w:rsidRPr="00D006D1" w:rsidP="00F23C9A">
            <w:pPr>
              <w:jc w:val="center"/>
              <w:rPr>
                <w:color w:val="000000"/>
              </w:rPr>
            </w:pPr>
            <w:r w:rsidRPr="00D006D1">
              <w:rPr>
                <w:color w:val="000000"/>
              </w:rPr>
              <w:t>1,600</w:t>
            </w:r>
          </w:p>
        </w:tc>
        <w:tc>
          <w:tcPr>
            <w:tcW w:w="1560" w:type="dxa"/>
            <w:tcBorders>
              <w:top w:val="nil"/>
              <w:left w:val="nil"/>
              <w:bottom w:val="single" w:sz="4" w:space="0" w:color="auto"/>
              <w:right w:val="single" w:sz="4" w:space="0" w:color="auto"/>
            </w:tcBorders>
            <w:shd w:val="clear" w:color="auto" w:fill="auto"/>
            <w:noWrap/>
            <w:vAlign w:val="bottom"/>
          </w:tcPr>
          <w:p w:rsidR="00F23C9A" w:rsidRPr="00D006D1" w:rsidP="00F23C9A">
            <w:pPr>
              <w:jc w:val="center"/>
              <w:rPr>
                <w:color w:val="000000"/>
              </w:rPr>
            </w:pPr>
            <w:r w:rsidRPr="00D006D1">
              <w:rPr>
                <w:color w:val="000000"/>
              </w:rPr>
              <w:t>1,600</w:t>
            </w:r>
          </w:p>
        </w:tc>
        <w:tc>
          <w:tcPr>
            <w:tcW w:w="1417" w:type="dxa"/>
            <w:tcBorders>
              <w:top w:val="nil"/>
              <w:left w:val="nil"/>
              <w:bottom w:val="single" w:sz="4" w:space="0" w:color="auto"/>
              <w:right w:val="single" w:sz="4" w:space="0" w:color="auto"/>
            </w:tcBorders>
            <w:shd w:val="clear" w:color="auto" w:fill="auto"/>
            <w:noWrap/>
            <w:vAlign w:val="bottom"/>
          </w:tcPr>
          <w:p w:rsidR="00F23C9A" w:rsidRPr="00D006D1" w:rsidP="00F23C9A">
            <w:pPr>
              <w:jc w:val="center"/>
              <w:rPr>
                <w:color w:val="000000"/>
              </w:rPr>
            </w:pPr>
            <w:r w:rsidRPr="00D006D1">
              <w:rPr>
                <w:color w:val="000000"/>
              </w:rPr>
              <w:t>1,600</w:t>
            </w:r>
          </w:p>
        </w:tc>
        <w:tc>
          <w:tcPr>
            <w:tcW w:w="1418" w:type="dxa"/>
            <w:tcBorders>
              <w:top w:val="nil"/>
              <w:left w:val="nil"/>
              <w:bottom w:val="single" w:sz="4" w:space="0" w:color="auto"/>
              <w:right w:val="single" w:sz="4" w:space="0" w:color="auto"/>
            </w:tcBorders>
            <w:shd w:val="clear" w:color="auto" w:fill="auto"/>
            <w:noWrap/>
            <w:vAlign w:val="bottom"/>
          </w:tcPr>
          <w:p w:rsidR="00F23C9A" w:rsidRPr="00D006D1" w:rsidP="00F23C9A">
            <w:pPr>
              <w:jc w:val="center"/>
              <w:rPr>
                <w:color w:val="000000"/>
              </w:rPr>
            </w:pPr>
            <w:r w:rsidRPr="00D006D1">
              <w:rPr>
                <w:color w:val="000000"/>
              </w:rPr>
              <w:t>1,600</w:t>
            </w:r>
          </w:p>
        </w:tc>
      </w:tr>
      <w:tr w:rsidTr="00F23C9A">
        <w:tblPrEx>
          <w:tblW w:w="8931" w:type="dxa"/>
          <w:tblLook w:val="04A0"/>
        </w:tblPrEx>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F23C9A" w:rsidRPr="00D006D1" w:rsidP="00F23C9A">
            <w:pPr>
              <w:rPr>
                <w:color w:val="000000"/>
              </w:rPr>
            </w:pPr>
            <w:r w:rsidRPr="00D006D1">
              <w:rPr>
                <w:color w:val="000000"/>
              </w:rPr>
              <w:t>Other long term liabilities</w:t>
            </w:r>
          </w:p>
        </w:tc>
        <w:tc>
          <w:tcPr>
            <w:tcW w:w="1559" w:type="dxa"/>
            <w:tcBorders>
              <w:top w:val="nil"/>
              <w:left w:val="nil"/>
              <w:bottom w:val="single" w:sz="4" w:space="0" w:color="auto"/>
              <w:right w:val="single" w:sz="4" w:space="0" w:color="auto"/>
            </w:tcBorders>
            <w:shd w:val="clear" w:color="auto" w:fill="auto"/>
            <w:noWrap/>
            <w:vAlign w:val="bottom"/>
          </w:tcPr>
          <w:p w:rsidR="00F23C9A" w:rsidRPr="00D006D1" w:rsidP="00F23C9A">
            <w:pPr>
              <w:jc w:val="center"/>
              <w:rPr>
                <w:color w:val="000000"/>
              </w:rPr>
            </w:pPr>
            <w:r w:rsidRPr="00D006D1">
              <w:rPr>
                <w:color w:val="000000"/>
              </w:rPr>
              <w:t xml:space="preserve">   150</w:t>
            </w:r>
          </w:p>
        </w:tc>
        <w:tc>
          <w:tcPr>
            <w:tcW w:w="1560" w:type="dxa"/>
            <w:tcBorders>
              <w:top w:val="nil"/>
              <w:left w:val="nil"/>
              <w:bottom w:val="single" w:sz="4" w:space="0" w:color="auto"/>
              <w:right w:val="single" w:sz="4" w:space="0" w:color="auto"/>
            </w:tcBorders>
            <w:shd w:val="clear" w:color="auto" w:fill="auto"/>
            <w:noWrap/>
            <w:vAlign w:val="bottom"/>
          </w:tcPr>
          <w:p w:rsidR="00F23C9A" w:rsidRPr="00D006D1" w:rsidP="00F23C9A">
            <w:pPr>
              <w:jc w:val="center"/>
              <w:rPr>
                <w:color w:val="000000"/>
              </w:rPr>
            </w:pPr>
            <w:r w:rsidRPr="00D006D1">
              <w:rPr>
                <w:color w:val="000000"/>
              </w:rPr>
              <w:t xml:space="preserve">   </w:t>
            </w:r>
            <w:r>
              <w:rPr>
                <w:color w:val="000000"/>
              </w:rPr>
              <w:t>400</w:t>
            </w:r>
          </w:p>
        </w:tc>
        <w:tc>
          <w:tcPr>
            <w:tcW w:w="1417" w:type="dxa"/>
            <w:tcBorders>
              <w:top w:val="nil"/>
              <w:left w:val="nil"/>
              <w:bottom w:val="single" w:sz="4" w:space="0" w:color="auto"/>
              <w:right w:val="single" w:sz="4" w:space="0" w:color="auto"/>
            </w:tcBorders>
            <w:shd w:val="clear" w:color="auto" w:fill="auto"/>
            <w:noWrap/>
            <w:vAlign w:val="bottom"/>
          </w:tcPr>
          <w:p w:rsidR="00F23C9A" w:rsidRPr="00D006D1" w:rsidP="00F23C9A">
            <w:pPr>
              <w:jc w:val="center"/>
              <w:rPr>
                <w:color w:val="000000"/>
              </w:rPr>
            </w:pPr>
            <w:r w:rsidRPr="00D006D1">
              <w:rPr>
                <w:color w:val="000000"/>
              </w:rPr>
              <w:t xml:space="preserve">   </w:t>
            </w:r>
            <w:r>
              <w:rPr>
                <w:color w:val="000000"/>
              </w:rPr>
              <w:t>400</w:t>
            </w:r>
          </w:p>
        </w:tc>
        <w:tc>
          <w:tcPr>
            <w:tcW w:w="1418" w:type="dxa"/>
            <w:tcBorders>
              <w:top w:val="nil"/>
              <w:left w:val="nil"/>
              <w:bottom w:val="single" w:sz="4" w:space="0" w:color="auto"/>
              <w:right w:val="single" w:sz="4" w:space="0" w:color="auto"/>
            </w:tcBorders>
            <w:shd w:val="clear" w:color="auto" w:fill="auto"/>
            <w:noWrap/>
            <w:vAlign w:val="bottom"/>
          </w:tcPr>
          <w:p w:rsidR="00F23C9A" w:rsidRPr="00D006D1" w:rsidP="00F23C9A">
            <w:pPr>
              <w:jc w:val="center"/>
              <w:rPr>
                <w:color w:val="000000"/>
              </w:rPr>
            </w:pPr>
            <w:r w:rsidRPr="00D006D1">
              <w:rPr>
                <w:color w:val="000000"/>
              </w:rPr>
              <w:t xml:space="preserve">   </w:t>
            </w:r>
            <w:r>
              <w:rPr>
                <w:color w:val="000000"/>
              </w:rPr>
              <w:t>400</w:t>
            </w:r>
          </w:p>
        </w:tc>
      </w:tr>
      <w:tr w:rsidTr="00F23C9A">
        <w:tblPrEx>
          <w:tblW w:w="8931" w:type="dxa"/>
          <w:tblLook w:val="04A0"/>
        </w:tblPrEx>
        <w:trPr>
          <w:trHeight w:val="300"/>
        </w:trPr>
        <w:tc>
          <w:tcPr>
            <w:tcW w:w="297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F23C9A" w:rsidRPr="00D006D1" w:rsidP="00F23C9A">
            <w:pPr>
              <w:rPr>
                <w:color w:val="000000"/>
              </w:rPr>
            </w:pPr>
            <w:r w:rsidRPr="00D006D1">
              <w:rPr>
                <w:color w:val="000000"/>
              </w:rPr>
              <w:t>TOTAL</w:t>
            </w:r>
          </w:p>
        </w:tc>
        <w:tc>
          <w:tcPr>
            <w:tcW w:w="1559" w:type="dxa"/>
            <w:tcBorders>
              <w:top w:val="nil"/>
              <w:left w:val="nil"/>
              <w:bottom w:val="single" w:sz="4" w:space="0" w:color="auto"/>
              <w:right w:val="single" w:sz="4" w:space="0" w:color="auto"/>
            </w:tcBorders>
            <w:shd w:val="clear" w:color="auto" w:fill="DBE5F1" w:themeFill="accent1" w:themeFillTint="33"/>
            <w:noWrap/>
            <w:vAlign w:val="bottom"/>
          </w:tcPr>
          <w:p w:rsidR="00F23C9A" w:rsidRPr="00D006D1" w:rsidP="00F23C9A">
            <w:pPr>
              <w:jc w:val="center"/>
              <w:rPr>
                <w:color w:val="000000"/>
              </w:rPr>
            </w:pPr>
            <w:r w:rsidRPr="00D006D1">
              <w:rPr>
                <w:color w:val="000000"/>
              </w:rPr>
              <w:t>1,750</w:t>
            </w:r>
          </w:p>
        </w:tc>
        <w:tc>
          <w:tcPr>
            <w:tcW w:w="1560" w:type="dxa"/>
            <w:tcBorders>
              <w:top w:val="nil"/>
              <w:left w:val="nil"/>
              <w:bottom w:val="single" w:sz="4" w:space="0" w:color="auto"/>
              <w:right w:val="single" w:sz="4" w:space="0" w:color="auto"/>
            </w:tcBorders>
            <w:shd w:val="clear" w:color="auto" w:fill="DBE5F1" w:themeFill="accent1" w:themeFillTint="33"/>
            <w:noWrap/>
            <w:vAlign w:val="bottom"/>
          </w:tcPr>
          <w:p w:rsidR="00F23C9A" w:rsidRPr="00D006D1" w:rsidP="00F23C9A">
            <w:pPr>
              <w:jc w:val="center"/>
              <w:rPr>
                <w:color w:val="000000"/>
              </w:rPr>
            </w:pPr>
            <w:r>
              <w:rPr>
                <w:color w:val="000000"/>
              </w:rPr>
              <w:t>2,000</w:t>
            </w:r>
          </w:p>
        </w:tc>
        <w:tc>
          <w:tcPr>
            <w:tcW w:w="1417" w:type="dxa"/>
            <w:tcBorders>
              <w:top w:val="nil"/>
              <w:left w:val="nil"/>
              <w:bottom w:val="single" w:sz="4" w:space="0" w:color="auto"/>
              <w:right w:val="single" w:sz="4" w:space="0" w:color="auto"/>
            </w:tcBorders>
            <w:shd w:val="clear" w:color="auto" w:fill="DBE5F1" w:themeFill="accent1" w:themeFillTint="33"/>
            <w:noWrap/>
            <w:vAlign w:val="bottom"/>
          </w:tcPr>
          <w:p w:rsidR="00F23C9A" w:rsidRPr="00D006D1" w:rsidP="00F23C9A">
            <w:pPr>
              <w:jc w:val="center"/>
              <w:rPr>
                <w:color w:val="000000"/>
              </w:rPr>
            </w:pPr>
            <w:r>
              <w:rPr>
                <w:color w:val="000000"/>
              </w:rPr>
              <w:t>2,000</w:t>
            </w:r>
          </w:p>
        </w:tc>
        <w:tc>
          <w:tcPr>
            <w:tcW w:w="1418" w:type="dxa"/>
            <w:tcBorders>
              <w:top w:val="nil"/>
              <w:left w:val="nil"/>
              <w:bottom w:val="single" w:sz="4" w:space="0" w:color="auto"/>
              <w:right w:val="single" w:sz="4" w:space="0" w:color="auto"/>
            </w:tcBorders>
            <w:shd w:val="clear" w:color="auto" w:fill="DBE5F1" w:themeFill="accent1" w:themeFillTint="33"/>
            <w:noWrap/>
            <w:vAlign w:val="bottom"/>
          </w:tcPr>
          <w:p w:rsidR="00F23C9A" w:rsidRPr="00D006D1" w:rsidP="00F23C9A">
            <w:pPr>
              <w:jc w:val="center"/>
              <w:rPr>
                <w:color w:val="000000"/>
              </w:rPr>
            </w:pPr>
            <w:r>
              <w:rPr>
                <w:color w:val="000000"/>
              </w:rPr>
              <w:t>2,000</w:t>
            </w:r>
          </w:p>
        </w:tc>
      </w:tr>
    </w:tbl>
    <w:p w:rsidR="00F23C9A" w:rsidRPr="00D006D1" w:rsidP="00F23C9A">
      <w:pPr>
        <w:jc w:val="both"/>
      </w:pPr>
    </w:p>
    <w:p w:rsidR="00F23C9A" w:rsidRPr="00D006D1" w:rsidP="00F23C9A">
      <w:pPr>
        <w:jc w:val="both"/>
      </w:pPr>
      <w:r>
        <w:t>A</w:t>
      </w:r>
      <w:r w:rsidRPr="00D006D1">
        <w:t>ccounting standards are changing in relation to recording leases</w:t>
      </w:r>
      <w:r>
        <w:t xml:space="preserve"> are anticipated during this period</w:t>
      </w:r>
      <w:r w:rsidRPr="00D006D1">
        <w:t xml:space="preserve"> In effect more leases will be included on the council's balance sheet and therefore will be included against the other long term liabilities indicators. At this stage work is on-going to quantify the impact of the change and therefore the other long term liabilities limits will be subject to change.</w:t>
      </w:r>
    </w:p>
    <w:p w:rsidR="00F23C9A" w:rsidRPr="00D006D1" w:rsidP="00F23C9A">
      <w:pPr>
        <w:jc w:val="both"/>
      </w:pPr>
    </w:p>
    <w:p w:rsidR="00F23C9A" w:rsidP="00F23C9A">
      <w:pPr>
        <w:jc w:val="both"/>
      </w:pPr>
      <w:r w:rsidRPr="00D006D1">
        <w:t>The 'operational limit' for external debt is based on the same estimates as the authorised limit. However, although it reflects a prudent estimate of debt, there is no provision for unusual cash flow movements. In effect, it represents the estimated maximum external debt arising as a consequence of the council's current plans. As required under the Code, this limit will be carefully monitored during the year.  The proposed operational limits for external debt are:</w:t>
      </w:r>
    </w:p>
    <w:p w:rsidR="00F23C9A" w:rsidRPr="00D006D1" w:rsidP="00F23C9A">
      <w:pPr>
        <w:jc w:val="both"/>
      </w:pPr>
    </w:p>
    <w:p w:rsidR="00F23C9A" w:rsidRPr="00D006D1" w:rsidP="00F23C9A">
      <w:pPr>
        <w:jc w:val="both"/>
      </w:pPr>
    </w:p>
    <w:tbl>
      <w:tblPr>
        <w:tblW w:w="8936" w:type="dxa"/>
        <w:tblInd w:w="-5" w:type="dxa"/>
        <w:tblLayout w:type="fixed"/>
        <w:tblLook w:val="0000"/>
      </w:tblPr>
      <w:tblGrid>
        <w:gridCol w:w="2977"/>
        <w:gridCol w:w="1564"/>
        <w:gridCol w:w="1560"/>
        <w:gridCol w:w="1417"/>
        <w:gridCol w:w="1418"/>
      </w:tblGrid>
      <w:tr w:rsidTr="00F23C9A">
        <w:tblPrEx>
          <w:tblW w:w="8936" w:type="dxa"/>
          <w:tblInd w:w="-5" w:type="dxa"/>
          <w:tblLayout w:type="fixed"/>
          <w:tblLook w:val="0000"/>
        </w:tblPrEx>
        <w:trPr>
          <w:trHeight w:val="300"/>
        </w:trPr>
        <w:tc>
          <w:tcPr>
            <w:tcW w:w="2977" w:type="dxa"/>
            <w:tcBorders>
              <w:top w:val="nil"/>
              <w:left w:val="nil"/>
              <w:bottom w:val="nil"/>
              <w:right w:val="nil"/>
            </w:tcBorders>
            <w:shd w:val="clear" w:color="auto" w:fill="auto"/>
            <w:noWrap/>
            <w:vAlign w:val="bottom"/>
            <w:hideMark/>
          </w:tcPr>
          <w:p w:rsidR="00F23C9A" w:rsidRPr="00D006D1" w:rsidP="00F23C9A"/>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C9A" w:rsidRPr="00D006D1" w:rsidP="00F23C9A">
            <w:pPr>
              <w:jc w:val="center"/>
              <w:rPr>
                <w:color w:val="000000"/>
              </w:rPr>
            </w:pPr>
            <w:r w:rsidRPr="00D006D1">
              <w:rPr>
                <w:color w:val="000000"/>
              </w:rPr>
              <w:t>2020/21 Revised</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23C9A" w:rsidRPr="00D006D1" w:rsidP="00F23C9A">
            <w:pPr>
              <w:jc w:val="center"/>
              <w:rPr>
                <w:color w:val="000000"/>
              </w:rPr>
            </w:pPr>
            <w:r w:rsidRPr="00D006D1">
              <w:rPr>
                <w:color w:val="000000"/>
              </w:rPr>
              <w:t>202</w:t>
            </w:r>
            <w:r>
              <w:rPr>
                <w:color w:val="000000"/>
              </w:rPr>
              <w:t>1</w:t>
            </w:r>
            <w:r w:rsidRPr="00D006D1">
              <w:rPr>
                <w:color w:val="000000"/>
              </w:rPr>
              <w:t>/22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3C9A" w:rsidRPr="00D006D1" w:rsidP="00F23C9A">
            <w:pPr>
              <w:jc w:val="center"/>
              <w:rPr>
                <w:color w:val="000000"/>
              </w:rPr>
            </w:pPr>
            <w:r w:rsidRPr="00D006D1">
              <w:rPr>
                <w:color w:val="000000"/>
              </w:rPr>
              <w:t>2022/23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23C9A" w:rsidRPr="00D006D1" w:rsidP="00F23C9A">
            <w:pPr>
              <w:jc w:val="center"/>
              <w:rPr>
                <w:color w:val="000000"/>
              </w:rPr>
            </w:pPr>
            <w:r w:rsidRPr="00D006D1">
              <w:rPr>
                <w:color w:val="000000"/>
              </w:rPr>
              <w:t>2023/24</w:t>
            </w:r>
          </w:p>
        </w:tc>
      </w:tr>
      <w:tr w:rsidTr="00F23C9A">
        <w:tblPrEx>
          <w:tblW w:w="8936" w:type="dxa"/>
          <w:tblInd w:w="-5" w:type="dxa"/>
          <w:tblLayout w:type="fixed"/>
          <w:tblLook w:val="0000"/>
        </w:tblPrEx>
        <w:trPr>
          <w:trHeight w:val="300"/>
        </w:trPr>
        <w:tc>
          <w:tcPr>
            <w:tcW w:w="2977" w:type="dxa"/>
            <w:tcBorders>
              <w:top w:val="nil"/>
              <w:left w:val="nil"/>
              <w:bottom w:val="nil"/>
              <w:right w:val="nil"/>
            </w:tcBorders>
            <w:shd w:val="clear" w:color="auto" w:fill="auto"/>
            <w:noWrap/>
            <w:vAlign w:val="bottom"/>
            <w:hideMark/>
          </w:tcPr>
          <w:p w:rsidR="00F23C9A" w:rsidRPr="00D006D1" w:rsidP="00F23C9A">
            <w:pPr>
              <w:rPr>
                <w:color w:val="000000"/>
              </w:rPr>
            </w:pP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F23C9A" w:rsidRPr="00D006D1" w:rsidP="00F23C9A">
            <w:pPr>
              <w:jc w:val="center"/>
              <w:rPr>
                <w:color w:val="000000"/>
              </w:rPr>
            </w:pPr>
            <w:r w:rsidRPr="00D006D1">
              <w:rPr>
                <w:color w:val="000000"/>
              </w:rPr>
              <w:t>£m</w:t>
            </w:r>
          </w:p>
        </w:tc>
        <w:tc>
          <w:tcPr>
            <w:tcW w:w="1560" w:type="dxa"/>
            <w:tcBorders>
              <w:top w:val="nil"/>
              <w:left w:val="nil"/>
              <w:bottom w:val="single" w:sz="4" w:space="0" w:color="auto"/>
              <w:right w:val="single" w:sz="4" w:space="0" w:color="auto"/>
            </w:tcBorders>
            <w:shd w:val="clear" w:color="auto" w:fill="auto"/>
            <w:noWrap/>
            <w:vAlign w:val="bottom"/>
            <w:hideMark/>
          </w:tcPr>
          <w:p w:rsidR="00F23C9A" w:rsidRPr="00D006D1" w:rsidP="00F23C9A">
            <w:pPr>
              <w:jc w:val="center"/>
              <w:rPr>
                <w:color w:val="000000"/>
              </w:rPr>
            </w:pPr>
            <w:r w:rsidRPr="00D006D1">
              <w:rPr>
                <w:color w:val="000000"/>
              </w:rPr>
              <w:t>£m</w:t>
            </w:r>
          </w:p>
        </w:tc>
        <w:tc>
          <w:tcPr>
            <w:tcW w:w="1417" w:type="dxa"/>
            <w:tcBorders>
              <w:top w:val="nil"/>
              <w:left w:val="nil"/>
              <w:bottom w:val="single" w:sz="4" w:space="0" w:color="auto"/>
              <w:right w:val="single" w:sz="4" w:space="0" w:color="auto"/>
            </w:tcBorders>
            <w:shd w:val="clear" w:color="auto" w:fill="auto"/>
            <w:noWrap/>
            <w:vAlign w:val="bottom"/>
            <w:hideMark/>
          </w:tcPr>
          <w:p w:rsidR="00F23C9A" w:rsidRPr="00D006D1" w:rsidP="00F23C9A">
            <w:pPr>
              <w:jc w:val="center"/>
              <w:rPr>
                <w:color w:val="000000"/>
              </w:rPr>
            </w:pPr>
            <w:r w:rsidRPr="00D006D1">
              <w:rPr>
                <w:color w:val="000000"/>
              </w:rPr>
              <w:t>£m</w:t>
            </w:r>
          </w:p>
        </w:tc>
        <w:tc>
          <w:tcPr>
            <w:tcW w:w="1418" w:type="dxa"/>
            <w:tcBorders>
              <w:top w:val="nil"/>
              <w:left w:val="nil"/>
              <w:bottom w:val="single" w:sz="4" w:space="0" w:color="auto"/>
              <w:right w:val="single" w:sz="4" w:space="0" w:color="auto"/>
            </w:tcBorders>
            <w:shd w:val="clear" w:color="auto" w:fill="auto"/>
            <w:noWrap/>
            <w:vAlign w:val="bottom"/>
            <w:hideMark/>
          </w:tcPr>
          <w:p w:rsidR="00F23C9A" w:rsidRPr="00D006D1" w:rsidP="00F23C9A">
            <w:pPr>
              <w:jc w:val="center"/>
              <w:rPr>
                <w:color w:val="000000"/>
              </w:rPr>
            </w:pPr>
            <w:r w:rsidRPr="00D006D1">
              <w:rPr>
                <w:color w:val="000000"/>
              </w:rPr>
              <w:t>£m</w:t>
            </w:r>
          </w:p>
        </w:tc>
      </w:tr>
      <w:tr w:rsidTr="00F23C9A">
        <w:tblPrEx>
          <w:tblW w:w="8936" w:type="dxa"/>
          <w:tblInd w:w="-5" w:type="dxa"/>
          <w:tblLayout w:type="fixed"/>
          <w:tblLook w:val="0000"/>
        </w:tblPrEx>
        <w:trPr>
          <w:trHeight w:val="341"/>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C9A" w:rsidRPr="00D006D1" w:rsidP="00F23C9A">
            <w:pPr>
              <w:rPr>
                <w:color w:val="000000"/>
              </w:rPr>
            </w:pPr>
            <w:r w:rsidRPr="00D006D1">
              <w:rPr>
                <w:color w:val="000000"/>
              </w:rPr>
              <w:t>Borrowing</w:t>
            </w:r>
          </w:p>
        </w:tc>
        <w:tc>
          <w:tcPr>
            <w:tcW w:w="1564" w:type="dxa"/>
            <w:tcBorders>
              <w:top w:val="nil"/>
              <w:left w:val="nil"/>
              <w:bottom w:val="single" w:sz="4" w:space="0" w:color="auto"/>
              <w:right w:val="single" w:sz="4" w:space="0" w:color="auto"/>
            </w:tcBorders>
            <w:shd w:val="clear" w:color="auto" w:fill="auto"/>
            <w:noWrap/>
            <w:vAlign w:val="bottom"/>
          </w:tcPr>
          <w:p w:rsidR="00F23C9A" w:rsidRPr="00D006D1" w:rsidP="00F23C9A">
            <w:pPr>
              <w:jc w:val="center"/>
              <w:rPr>
                <w:color w:val="000000"/>
              </w:rPr>
            </w:pPr>
            <w:r w:rsidRPr="00D006D1">
              <w:rPr>
                <w:color w:val="000000"/>
              </w:rPr>
              <w:t>1,200</w:t>
            </w:r>
          </w:p>
        </w:tc>
        <w:tc>
          <w:tcPr>
            <w:tcW w:w="1560" w:type="dxa"/>
            <w:tcBorders>
              <w:top w:val="nil"/>
              <w:left w:val="nil"/>
              <w:bottom w:val="single" w:sz="4" w:space="0" w:color="auto"/>
              <w:right w:val="single" w:sz="4" w:space="0" w:color="auto"/>
            </w:tcBorders>
            <w:shd w:val="clear" w:color="auto" w:fill="auto"/>
            <w:noWrap/>
            <w:vAlign w:val="bottom"/>
          </w:tcPr>
          <w:p w:rsidR="00F23C9A" w:rsidRPr="00D006D1" w:rsidP="00F23C9A">
            <w:pPr>
              <w:jc w:val="center"/>
              <w:rPr>
                <w:color w:val="000000"/>
              </w:rPr>
            </w:pPr>
            <w:r w:rsidRPr="00D006D1">
              <w:rPr>
                <w:color w:val="000000"/>
              </w:rPr>
              <w:t>1,200</w:t>
            </w:r>
          </w:p>
        </w:tc>
        <w:tc>
          <w:tcPr>
            <w:tcW w:w="1417" w:type="dxa"/>
            <w:tcBorders>
              <w:top w:val="nil"/>
              <w:left w:val="nil"/>
              <w:bottom w:val="single" w:sz="4" w:space="0" w:color="auto"/>
              <w:right w:val="single" w:sz="4" w:space="0" w:color="auto"/>
            </w:tcBorders>
            <w:shd w:val="clear" w:color="auto" w:fill="auto"/>
            <w:noWrap/>
            <w:vAlign w:val="bottom"/>
          </w:tcPr>
          <w:p w:rsidR="00F23C9A" w:rsidRPr="00D006D1" w:rsidP="00F23C9A">
            <w:pPr>
              <w:jc w:val="center"/>
              <w:rPr>
                <w:color w:val="000000"/>
              </w:rPr>
            </w:pPr>
            <w:r w:rsidRPr="00D006D1">
              <w:rPr>
                <w:color w:val="000000"/>
              </w:rPr>
              <w:t>1,200</w:t>
            </w:r>
          </w:p>
        </w:tc>
        <w:tc>
          <w:tcPr>
            <w:tcW w:w="1418" w:type="dxa"/>
            <w:tcBorders>
              <w:top w:val="nil"/>
              <w:left w:val="nil"/>
              <w:bottom w:val="single" w:sz="4" w:space="0" w:color="auto"/>
              <w:right w:val="single" w:sz="4" w:space="0" w:color="auto"/>
            </w:tcBorders>
            <w:shd w:val="clear" w:color="auto" w:fill="auto"/>
            <w:noWrap/>
            <w:vAlign w:val="bottom"/>
          </w:tcPr>
          <w:p w:rsidR="00F23C9A" w:rsidRPr="00D006D1" w:rsidP="00F23C9A">
            <w:pPr>
              <w:jc w:val="center"/>
              <w:rPr>
                <w:color w:val="000000"/>
              </w:rPr>
            </w:pPr>
            <w:r w:rsidRPr="00D006D1">
              <w:rPr>
                <w:color w:val="000000"/>
              </w:rPr>
              <w:t>1,200</w:t>
            </w:r>
          </w:p>
        </w:tc>
      </w:tr>
      <w:tr w:rsidTr="00F23C9A">
        <w:tblPrEx>
          <w:tblW w:w="8936" w:type="dxa"/>
          <w:tblInd w:w="-5" w:type="dxa"/>
          <w:tblLayout w:type="fixed"/>
          <w:tblLook w:val="0000"/>
        </w:tblPrEx>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F23C9A" w:rsidRPr="00D006D1" w:rsidP="00F23C9A">
            <w:pPr>
              <w:rPr>
                <w:color w:val="000000"/>
              </w:rPr>
            </w:pPr>
            <w:r w:rsidRPr="00D006D1">
              <w:rPr>
                <w:color w:val="000000"/>
              </w:rPr>
              <w:t>Other long term liabilities</w:t>
            </w:r>
          </w:p>
        </w:tc>
        <w:tc>
          <w:tcPr>
            <w:tcW w:w="1564" w:type="dxa"/>
            <w:tcBorders>
              <w:top w:val="nil"/>
              <w:left w:val="nil"/>
              <w:bottom w:val="single" w:sz="4" w:space="0" w:color="auto"/>
              <w:right w:val="single" w:sz="4" w:space="0" w:color="auto"/>
            </w:tcBorders>
            <w:shd w:val="clear" w:color="auto" w:fill="auto"/>
            <w:noWrap/>
            <w:vAlign w:val="bottom"/>
          </w:tcPr>
          <w:p w:rsidR="00F23C9A" w:rsidRPr="00D006D1" w:rsidP="00F23C9A">
            <w:pPr>
              <w:jc w:val="center"/>
              <w:rPr>
                <w:color w:val="000000"/>
              </w:rPr>
            </w:pPr>
            <w:r w:rsidRPr="00D006D1">
              <w:rPr>
                <w:color w:val="000000"/>
              </w:rPr>
              <w:t xml:space="preserve">   150</w:t>
            </w:r>
          </w:p>
        </w:tc>
        <w:tc>
          <w:tcPr>
            <w:tcW w:w="1560" w:type="dxa"/>
            <w:tcBorders>
              <w:top w:val="nil"/>
              <w:left w:val="nil"/>
              <w:bottom w:val="single" w:sz="4" w:space="0" w:color="auto"/>
              <w:right w:val="single" w:sz="4" w:space="0" w:color="auto"/>
            </w:tcBorders>
            <w:shd w:val="clear" w:color="auto" w:fill="auto"/>
            <w:noWrap/>
            <w:vAlign w:val="bottom"/>
          </w:tcPr>
          <w:p w:rsidR="00F23C9A" w:rsidRPr="00D006D1" w:rsidP="00F23C9A">
            <w:pPr>
              <w:jc w:val="center"/>
              <w:rPr>
                <w:color w:val="000000"/>
              </w:rPr>
            </w:pPr>
            <w:r w:rsidRPr="00D006D1">
              <w:rPr>
                <w:color w:val="000000"/>
              </w:rPr>
              <w:t xml:space="preserve">   150</w:t>
            </w:r>
          </w:p>
        </w:tc>
        <w:tc>
          <w:tcPr>
            <w:tcW w:w="1417" w:type="dxa"/>
            <w:tcBorders>
              <w:top w:val="nil"/>
              <w:left w:val="nil"/>
              <w:bottom w:val="single" w:sz="4" w:space="0" w:color="auto"/>
              <w:right w:val="single" w:sz="4" w:space="0" w:color="auto"/>
            </w:tcBorders>
            <w:shd w:val="clear" w:color="auto" w:fill="auto"/>
            <w:noWrap/>
            <w:vAlign w:val="bottom"/>
          </w:tcPr>
          <w:p w:rsidR="00F23C9A" w:rsidRPr="00D006D1" w:rsidP="00F23C9A">
            <w:pPr>
              <w:jc w:val="center"/>
              <w:rPr>
                <w:color w:val="000000"/>
              </w:rPr>
            </w:pPr>
            <w:r w:rsidRPr="00D006D1">
              <w:rPr>
                <w:color w:val="000000"/>
              </w:rPr>
              <w:t xml:space="preserve">   150</w:t>
            </w:r>
          </w:p>
        </w:tc>
        <w:tc>
          <w:tcPr>
            <w:tcW w:w="1418" w:type="dxa"/>
            <w:tcBorders>
              <w:top w:val="nil"/>
              <w:left w:val="nil"/>
              <w:bottom w:val="single" w:sz="4" w:space="0" w:color="auto"/>
              <w:right w:val="single" w:sz="4" w:space="0" w:color="auto"/>
            </w:tcBorders>
            <w:shd w:val="clear" w:color="auto" w:fill="auto"/>
            <w:noWrap/>
            <w:vAlign w:val="bottom"/>
          </w:tcPr>
          <w:p w:rsidR="00F23C9A" w:rsidRPr="00D006D1" w:rsidP="00F23C9A">
            <w:pPr>
              <w:jc w:val="center"/>
              <w:rPr>
                <w:color w:val="000000"/>
              </w:rPr>
            </w:pPr>
            <w:r w:rsidRPr="00D006D1">
              <w:rPr>
                <w:color w:val="000000"/>
              </w:rPr>
              <w:t xml:space="preserve">   150</w:t>
            </w:r>
          </w:p>
        </w:tc>
      </w:tr>
      <w:tr w:rsidTr="00F23C9A">
        <w:tblPrEx>
          <w:tblW w:w="8936" w:type="dxa"/>
          <w:tblInd w:w="-5" w:type="dxa"/>
          <w:tblLayout w:type="fixed"/>
          <w:tblLook w:val="0000"/>
        </w:tblPrEx>
        <w:trPr>
          <w:trHeight w:val="300"/>
        </w:trPr>
        <w:tc>
          <w:tcPr>
            <w:tcW w:w="297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F23C9A" w:rsidRPr="00D006D1" w:rsidP="00F23C9A">
            <w:pPr>
              <w:rPr>
                <w:color w:val="000000"/>
              </w:rPr>
            </w:pPr>
            <w:r w:rsidRPr="00D006D1">
              <w:rPr>
                <w:color w:val="000000"/>
              </w:rPr>
              <w:t>TOTAL</w:t>
            </w:r>
          </w:p>
        </w:tc>
        <w:tc>
          <w:tcPr>
            <w:tcW w:w="1564" w:type="dxa"/>
            <w:tcBorders>
              <w:top w:val="nil"/>
              <w:left w:val="nil"/>
              <w:bottom w:val="single" w:sz="4" w:space="0" w:color="auto"/>
              <w:right w:val="single" w:sz="4" w:space="0" w:color="auto"/>
            </w:tcBorders>
            <w:shd w:val="clear" w:color="auto" w:fill="DBE5F1" w:themeFill="accent1" w:themeFillTint="33"/>
            <w:noWrap/>
            <w:vAlign w:val="bottom"/>
          </w:tcPr>
          <w:p w:rsidR="00F23C9A" w:rsidRPr="00D006D1" w:rsidP="00F23C9A">
            <w:pPr>
              <w:jc w:val="center"/>
              <w:rPr>
                <w:color w:val="000000"/>
              </w:rPr>
            </w:pPr>
            <w:r w:rsidRPr="00D006D1">
              <w:rPr>
                <w:color w:val="000000"/>
              </w:rPr>
              <w:t>1,350</w:t>
            </w:r>
          </w:p>
        </w:tc>
        <w:tc>
          <w:tcPr>
            <w:tcW w:w="1560" w:type="dxa"/>
            <w:tcBorders>
              <w:top w:val="nil"/>
              <w:left w:val="nil"/>
              <w:bottom w:val="single" w:sz="4" w:space="0" w:color="auto"/>
              <w:right w:val="single" w:sz="4" w:space="0" w:color="auto"/>
            </w:tcBorders>
            <w:shd w:val="clear" w:color="auto" w:fill="DBE5F1" w:themeFill="accent1" w:themeFillTint="33"/>
            <w:noWrap/>
            <w:vAlign w:val="bottom"/>
          </w:tcPr>
          <w:p w:rsidR="00F23C9A" w:rsidRPr="00D006D1" w:rsidP="00F23C9A">
            <w:pPr>
              <w:jc w:val="center"/>
              <w:rPr>
                <w:color w:val="000000"/>
              </w:rPr>
            </w:pPr>
            <w:r w:rsidRPr="00D006D1">
              <w:rPr>
                <w:color w:val="000000"/>
              </w:rPr>
              <w:t>1,350</w:t>
            </w:r>
          </w:p>
        </w:tc>
        <w:tc>
          <w:tcPr>
            <w:tcW w:w="1417" w:type="dxa"/>
            <w:tcBorders>
              <w:top w:val="nil"/>
              <w:left w:val="nil"/>
              <w:bottom w:val="single" w:sz="4" w:space="0" w:color="auto"/>
              <w:right w:val="single" w:sz="4" w:space="0" w:color="auto"/>
            </w:tcBorders>
            <w:shd w:val="clear" w:color="auto" w:fill="DBE5F1" w:themeFill="accent1" w:themeFillTint="33"/>
            <w:noWrap/>
            <w:vAlign w:val="bottom"/>
          </w:tcPr>
          <w:p w:rsidR="00F23C9A" w:rsidRPr="00D006D1" w:rsidP="00F23C9A">
            <w:pPr>
              <w:jc w:val="center"/>
              <w:rPr>
                <w:color w:val="000000"/>
              </w:rPr>
            </w:pPr>
            <w:r w:rsidRPr="00D006D1">
              <w:rPr>
                <w:color w:val="000000"/>
              </w:rPr>
              <w:t>1,350</w:t>
            </w:r>
          </w:p>
        </w:tc>
        <w:tc>
          <w:tcPr>
            <w:tcW w:w="1418" w:type="dxa"/>
            <w:tcBorders>
              <w:top w:val="nil"/>
              <w:left w:val="nil"/>
              <w:bottom w:val="single" w:sz="4" w:space="0" w:color="auto"/>
              <w:right w:val="single" w:sz="4" w:space="0" w:color="auto"/>
            </w:tcBorders>
            <w:shd w:val="clear" w:color="auto" w:fill="DBE5F1" w:themeFill="accent1" w:themeFillTint="33"/>
            <w:noWrap/>
            <w:vAlign w:val="bottom"/>
          </w:tcPr>
          <w:p w:rsidR="00F23C9A" w:rsidRPr="00D006D1" w:rsidP="00F23C9A">
            <w:pPr>
              <w:jc w:val="center"/>
              <w:rPr>
                <w:color w:val="000000"/>
              </w:rPr>
            </w:pPr>
            <w:r w:rsidRPr="00D006D1">
              <w:rPr>
                <w:color w:val="000000"/>
              </w:rPr>
              <w:t>1,350</w:t>
            </w:r>
          </w:p>
        </w:tc>
      </w:tr>
    </w:tbl>
    <w:p w:rsidR="00F23C9A" w:rsidRPr="00D006D1" w:rsidP="00F23C9A">
      <w:pPr>
        <w:jc w:val="both"/>
        <w:rPr>
          <w:bCs/>
        </w:rPr>
      </w:pPr>
    </w:p>
    <w:p w:rsidR="00F23C9A" w:rsidRPr="00D006D1" w:rsidP="00F23C9A">
      <w:pPr>
        <w:jc w:val="both"/>
        <w:rPr>
          <w:bCs/>
        </w:rPr>
      </w:pPr>
      <w:r w:rsidRPr="00D006D1">
        <w:rPr>
          <w:bCs/>
        </w:rPr>
        <w:t>The actual external debt at 31 March 2020 was £1,545m.</w:t>
      </w:r>
    </w:p>
    <w:p w:rsidR="00F23C9A" w:rsidRPr="00707E3B" w:rsidP="00F23C9A">
      <w:pPr>
        <w:jc w:val="both"/>
        <w:rPr>
          <w:bCs/>
          <w:highlight w:val="yellow"/>
        </w:rPr>
      </w:pPr>
    </w:p>
    <w:p w:rsidR="00F23C9A" w:rsidRPr="005B3783" w:rsidP="00F23C9A">
      <w:pPr>
        <w:jc w:val="both"/>
        <w:rPr>
          <w:b/>
          <w:bCs/>
          <w:i/>
        </w:rPr>
      </w:pPr>
      <w:r w:rsidRPr="005B3783">
        <w:rPr>
          <w:b/>
          <w:bCs/>
          <w:i/>
        </w:rPr>
        <w:t xml:space="preserve">Gross debt and the capital financing requirement (capital financing requirement) </w:t>
      </w:r>
    </w:p>
    <w:p w:rsidR="00F23C9A" w:rsidRPr="005B3783" w:rsidP="00F23C9A">
      <w:pPr>
        <w:jc w:val="both"/>
        <w:rPr>
          <w:b/>
          <w:bCs/>
          <w:i/>
        </w:rPr>
      </w:pPr>
    </w:p>
    <w:p w:rsidR="00F23C9A" w:rsidRPr="005B3783" w:rsidP="00F23C9A">
      <w:pPr>
        <w:jc w:val="both"/>
        <w:rPr>
          <w:bCs/>
        </w:rPr>
      </w:pPr>
      <w:r w:rsidRPr="00D164AA">
        <w:rPr>
          <w:bCs/>
        </w:rPr>
        <w:t xml:space="preserve">Chartered Institute of Public Finance and Accountancy </w:t>
      </w:r>
      <w:r w:rsidRPr="005B3783">
        <w:rPr>
          <w:bCs/>
        </w:rPr>
        <w:t>s Prudential Code for Capital Finance in Local Authorities recommends that the authority’s total debt should be lower than its highest forecast capital financing requirement over the next three years. The county council's borrowing is in excess of the capital financing requirement</w:t>
      </w:r>
      <w:r>
        <w:rPr>
          <w:bCs/>
        </w:rPr>
        <w:t xml:space="preserve">, </w:t>
      </w:r>
      <w:r w:rsidRPr="005B3783">
        <w:rPr>
          <w:bCs/>
        </w:rPr>
        <w:t xml:space="preserve">however, in making this comparison certain borrowing is included in the total borrowing but does </w:t>
      </w:r>
      <w:r w:rsidRPr="005B3783">
        <w:rPr>
          <w:bCs/>
        </w:rPr>
        <w:t>not count against the capital financing requirement. These include the premiums paid and the transferred debt.</w:t>
      </w:r>
    </w:p>
    <w:p w:rsidR="00F23C9A" w:rsidRPr="005B3783" w:rsidP="00F23C9A">
      <w:pPr>
        <w:jc w:val="both"/>
        <w:rPr>
          <w:b/>
          <w:bCs/>
          <w:i/>
        </w:rPr>
      </w:pPr>
    </w:p>
    <w:tbl>
      <w:tblPr>
        <w:tblW w:w="8931" w:type="dxa"/>
        <w:tblLook w:val="04A0"/>
      </w:tblPr>
      <w:tblGrid>
        <w:gridCol w:w="3261"/>
        <w:gridCol w:w="1417"/>
        <w:gridCol w:w="1418"/>
        <w:gridCol w:w="1417"/>
        <w:gridCol w:w="1418"/>
      </w:tblGrid>
      <w:tr w:rsidTr="00F23C9A">
        <w:tblPrEx>
          <w:tblW w:w="8931" w:type="dxa"/>
          <w:tblLook w:val="04A0"/>
        </w:tblPrEx>
        <w:trPr>
          <w:trHeight w:val="337"/>
        </w:trPr>
        <w:tc>
          <w:tcPr>
            <w:tcW w:w="3261" w:type="dxa"/>
            <w:tcBorders>
              <w:top w:val="nil"/>
              <w:left w:val="nil"/>
              <w:bottom w:val="nil"/>
              <w:right w:val="nil"/>
            </w:tcBorders>
            <w:shd w:val="clear" w:color="auto" w:fill="auto"/>
            <w:noWrap/>
          </w:tcPr>
          <w:p w:rsidR="00F23C9A" w:rsidRPr="005B3783" w:rsidP="00F23C9A"/>
        </w:tc>
        <w:tc>
          <w:tcPr>
            <w:tcW w:w="5670" w:type="dxa"/>
            <w:gridSpan w:val="4"/>
            <w:tcBorders>
              <w:top w:val="single" w:sz="4" w:space="0" w:color="auto"/>
              <w:left w:val="single" w:sz="4" w:space="0" w:color="auto"/>
              <w:bottom w:val="single" w:sz="4" w:space="0" w:color="auto"/>
              <w:right w:val="single" w:sz="4" w:space="0" w:color="auto"/>
            </w:tcBorders>
            <w:shd w:val="clear" w:color="auto" w:fill="auto"/>
            <w:noWrap/>
          </w:tcPr>
          <w:p w:rsidR="00F23C9A" w:rsidRPr="005B3783" w:rsidP="00F23C9A">
            <w:pPr>
              <w:jc w:val="center"/>
            </w:pPr>
            <w:r w:rsidRPr="005B3783">
              <w:t>As at 31 March</w:t>
            </w:r>
          </w:p>
        </w:tc>
      </w:tr>
      <w:tr w:rsidTr="00F23C9A">
        <w:tblPrEx>
          <w:tblW w:w="8931" w:type="dxa"/>
          <w:tblLook w:val="04A0"/>
        </w:tblPrEx>
        <w:trPr>
          <w:trHeight w:val="300"/>
        </w:trPr>
        <w:tc>
          <w:tcPr>
            <w:tcW w:w="3261" w:type="dxa"/>
            <w:tcBorders>
              <w:top w:val="nil"/>
              <w:left w:val="nil"/>
              <w:bottom w:val="nil"/>
              <w:right w:val="nil"/>
            </w:tcBorders>
            <w:shd w:val="clear" w:color="auto" w:fill="auto"/>
            <w:noWrap/>
            <w:hideMark/>
          </w:tcPr>
          <w:p w:rsidR="00F23C9A" w:rsidRPr="005B3783" w:rsidP="00F23C9A"/>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F23C9A" w:rsidRPr="005B3783" w:rsidP="00F23C9A">
            <w:pPr>
              <w:jc w:val="center"/>
            </w:pPr>
            <w:r w:rsidRPr="005B3783">
              <w:t>2021</w:t>
            </w:r>
          </w:p>
        </w:tc>
        <w:tc>
          <w:tcPr>
            <w:tcW w:w="1418" w:type="dxa"/>
            <w:tcBorders>
              <w:top w:val="single" w:sz="4" w:space="0" w:color="auto"/>
              <w:left w:val="nil"/>
              <w:bottom w:val="single" w:sz="4" w:space="0" w:color="auto"/>
              <w:right w:val="single" w:sz="4" w:space="0" w:color="auto"/>
            </w:tcBorders>
            <w:shd w:val="clear" w:color="auto" w:fill="auto"/>
            <w:noWrap/>
            <w:hideMark/>
          </w:tcPr>
          <w:p w:rsidR="00F23C9A" w:rsidRPr="005B3783" w:rsidP="00F23C9A">
            <w:pPr>
              <w:jc w:val="center"/>
            </w:pPr>
            <w:r w:rsidRPr="005B3783">
              <w:t>2022</w:t>
            </w:r>
          </w:p>
        </w:tc>
        <w:tc>
          <w:tcPr>
            <w:tcW w:w="1417" w:type="dxa"/>
            <w:tcBorders>
              <w:top w:val="single" w:sz="4" w:space="0" w:color="auto"/>
              <w:left w:val="nil"/>
              <w:bottom w:val="single" w:sz="4" w:space="0" w:color="auto"/>
              <w:right w:val="single" w:sz="4" w:space="0" w:color="auto"/>
            </w:tcBorders>
            <w:shd w:val="clear" w:color="auto" w:fill="auto"/>
            <w:noWrap/>
            <w:hideMark/>
          </w:tcPr>
          <w:p w:rsidR="00F23C9A" w:rsidRPr="005B3783" w:rsidP="00F23C9A">
            <w:pPr>
              <w:jc w:val="center"/>
            </w:pPr>
            <w:r w:rsidRPr="005B3783">
              <w:t>2023</w:t>
            </w:r>
          </w:p>
        </w:tc>
        <w:tc>
          <w:tcPr>
            <w:tcW w:w="1418" w:type="dxa"/>
            <w:tcBorders>
              <w:top w:val="single" w:sz="4" w:space="0" w:color="auto"/>
              <w:left w:val="nil"/>
              <w:bottom w:val="single" w:sz="4" w:space="0" w:color="auto"/>
              <w:right w:val="single" w:sz="4" w:space="0" w:color="auto"/>
            </w:tcBorders>
            <w:shd w:val="clear" w:color="auto" w:fill="auto"/>
            <w:noWrap/>
            <w:hideMark/>
          </w:tcPr>
          <w:p w:rsidR="00F23C9A" w:rsidRPr="005B3783" w:rsidP="00F23C9A">
            <w:pPr>
              <w:jc w:val="center"/>
            </w:pPr>
            <w:r w:rsidRPr="005B3783">
              <w:t>2024</w:t>
            </w:r>
          </w:p>
        </w:tc>
      </w:tr>
      <w:tr w:rsidTr="00F23C9A">
        <w:tblPrEx>
          <w:tblW w:w="8931" w:type="dxa"/>
          <w:tblLook w:val="04A0"/>
        </w:tblPrEx>
        <w:trPr>
          <w:trHeight w:val="300"/>
        </w:trPr>
        <w:tc>
          <w:tcPr>
            <w:tcW w:w="3261" w:type="dxa"/>
            <w:tcBorders>
              <w:top w:val="nil"/>
              <w:left w:val="nil"/>
              <w:bottom w:val="nil"/>
              <w:right w:val="nil"/>
            </w:tcBorders>
            <w:shd w:val="clear" w:color="auto" w:fill="auto"/>
            <w:noWrap/>
            <w:hideMark/>
          </w:tcPr>
          <w:p w:rsidR="00F23C9A" w:rsidRPr="005B3783" w:rsidP="00F23C9A"/>
        </w:tc>
        <w:tc>
          <w:tcPr>
            <w:tcW w:w="1417" w:type="dxa"/>
            <w:tcBorders>
              <w:top w:val="nil"/>
              <w:left w:val="single" w:sz="4" w:space="0" w:color="auto"/>
              <w:bottom w:val="single" w:sz="4" w:space="0" w:color="auto"/>
              <w:right w:val="single" w:sz="4" w:space="0" w:color="auto"/>
            </w:tcBorders>
            <w:shd w:val="clear" w:color="auto" w:fill="auto"/>
            <w:noWrap/>
            <w:hideMark/>
          </w:tcPr>
          <w:p w:rsidR="00F23C9A" w:rsidRPr="005B3783" w:rsidP="00F23C9A">
            <w:pPr>
              <w:jc w:val="center"/>
            </w:pPr>
            <w:r w:rsidRPr="005B3783">
              <w:t>£m</w:t>
            </w:r>
          </w:p>
        </w:tc>
        <w:tc>
          <w:tcPr>
            <w:tcW w:w="1418" w:type="dxa"/>
            <w:tcBorders>
              <w:top w:val="nil"/>
              <w:left w:val="nil"/>
              <w:bottom w:val="single" w:sz="4" w:space="0" w:color="auto"/>
              <w:right w:val="single" w:sz="4" w:space="0" w:color="auto"/>
            </w:tcBorders>
            <w:shd w:val="clear" w:color="auto" w:fill="auto"/>
            <w:noWrap/>
            <w:hideMark/>
          </w:tcPr>
          <w:p w:rsidR="00F23C9A" w:rsidRPr="005B3783" w:rsidP="00F23C9A">
            <w:pPr>
              <w:jc w:val="center"/>
            </w:pPr>
            <w:r w:rsidRPr="005B3783">
              <w:t>£m</w:t>
            </w:r>
          </w:p>
        </w:tc>
        <w:tc>
          <w:tcPr>
            <w:tcW w:w="1417" w:type="dxa"/>
            <w:tcBorders>
              <w:top w:val="nil"/>
              <w:left w:val="nil"/>
              <w:bottom w:val="single" w:sz="4" w:space="0" w:color="auto"/>
              <w:right w:val="single" w:sz="4" w:space="0" w:color="auto"/>
            </w:tcBorders>
            <w:shd w:val="clear" w:color="auto" w:fill="auto"/>
            <w:noWrap/>
            <w:hideMark/>
          </w:tcPr>
          <w:p w:rsidR="00F23C9A" w:rsidRPr="005B3783" w:rsidP="00F23C9A">
            <w:pPr>
              <w:jc w:val="center"/>
            </w:pPr>
            <w:r w:rsidRPr="005B3783">
              <w:t>£m</w:t>
            </w:r>
          </w:p>
        </w:tc>
        <w:tc>
          <w:tcPr>
            <w:tcW w:w="1418" w:type="dxa"/>
            <w:tcBorders>
              <w:top w:val="nil"/>
              <w:left w:val="nil"/>
              <w:bottom w:val="single" w:sz="4" w:space="0" w:color="auto"/>
              <w:right w:val="single" w:sz="4" w:space="0" w:color="auto"/>
            </w:tcBorders>
            <w:shd w:val="clear" w:color="auto" w:fill="auto"/>
            <w:noWrap/>
            <w:hideMark/>
          </w:tcPr>
          <w:p w:rsidR="00F23C9A" w:rsidRPr="005B3783" w:rsidP="00F23C9A">
            <w:pPr>
              <w:jc w:val="center"/>
            </w:pPr>
            <w:r w:rsidRPr="005B3783">
              <w:t>£m</w:t>
            </w:r>
          </w:p>
        </w:tc>
      </w:tr>
      <w:tr w:rsidTr="00F23C9A">
        <w:tblPrEx>
          <w:tblW w:w="8931" w:type="dxa"/>
          <w:tblLook w:val="04A0"/>
        </w:tblPrEx>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hideMark/>
          </w:tcPr>
          <w:p w:rsidR="00F23C9A" w:rsidRPr="005B3783" w:rsidP="00F23C9A">
            <w:r w:rsidRPr="005B3783">
              <w:t>Borrowing capital financing requirement</w:t>
            </w:r>
          </w:p>
        </w:tc>
        <w:tc>
          <w:tcPr>
            <w:tcW w:w="1417" w:type="dxa"/>
            <w:tcBorders>
              <w:top w:val="nil"/>
              <w:left w:val="nil"/>
              <w:bottom w:val="single" w:sz="4" w:space="0" w:color="auto"/>
              <w:right w:val="single" w:sz="4" w:space="0" w:color="auto"/>
            </w:tcBorders>
            <w:shd w:val="clear" w:color="auto" w:fill="auto"/>
            <w:noWrap/>
          </w:tcPr>
          <w:p w:rsidR="00F23C9A" w:rsidRPr="005B3783" w:rsidP="00F23C9A">
            <w:pPr>
              <w:jc w:val="center"/>
            </w:pPr>
            <w:r w:rsidRPr="005B3783">
              <w:t>978</w:t>
            </w:r>
          </w:p>
        </w:tc>
        <w:tc>
          <w:tcPr>
            <w:tcW w:w="1418" w:type="dxa"/>
            <w:tcBorders>
              <w:top w:val="nil"/>
              <w:left w:val="nil"/>
              <w:bottom w:val="single" w:sz="4" w:space="0" w:color="auto"/>
              <w:right w:val="single" w:sz="4" w:space="0" w:color="auto"/>
            </w:tcBorders>
            <w:shd w:val="clear" w:color="auto" w:fill="auto"/>
            <w:noWrap/>
          </w:tcPr>
          <w:p w:rsidR="00F23C9A" w:rsidRPr="005B3783" w:rsidP="00F23C9A">
            <w:pPr>
              <w:jc w:val="center"/>
            </w:pPr>
            <w:r w:rsidRPr="005B3783">
              <w:t>1,009</w:t>
            </w:r>
          </w:p>
        </w:tc>
        <w:tc>
          <w:tcPr>
            <w:tcW w:w="1417" w:type="dxa"/>
            <w:tcBorders>
              <w:top w:val="nil"/>
              <w:left w:val="nil"/>
              <w:bottom w:val="single" w:sz="4" w:space="0" w:color="auto"/>
              <w:right w:val="single" w:sz="4" w:space="0" w:color="auto"/>
            </w:tcBorders>
            <w:shd w:val="clear" w:color="auto" w:fill="auto"/>
            <w:noWrap/>
          </w:tcPr>
          <w:p w:rsidR="00F23C9A" w:rsidRPr="005B3783" w:rsidP="00F23C9A">
            <w:pPr>
              <w:jc w:val="center"/>
            </w:pPr>
            <w:r w:rsidRPr="005B3783">
              <w:t>1,038</w:t>
            </w:r>
          </w:p>
        </w:tc>
        <w:tc>
          <w:tcPr>
            <w:tcW w:w="1418" w:type="dxa"/>
            <w:tcBorders>
              <w:top w:val="nil"/>
              <w:left w:val="nil"/>
              <w:bottom w:val="single" w:sz="4" w:space="0" w:color="auto"/>
              <w:right w:val="single" w:sz="4" w:space="0" w:color="auto"/>
            </w:tcBorders>
            <w:shd w:val="clear" w:color="auto" w:fill="auto"/>
            <w:noWrap/>
          </w:tcPr>
          <w:p w:rsidR="00F23C9A" w:rsidRPr="005B3783" w:rsidP="00F23C9A">
            <w:pPr>
              <w:jc w:val="center"/>
            </w:pPr>
            <w:r w:rsidRPr="005B3783">
              <w:t>1,066</w:t>
            </w:r>
          </w:p>
        </w:tc>
      </w:tr>
      <w:tr w:rsidTr="00F23C9A">
        <w:tblPrEx>
          <w:tblW w:w="8931" w:type="dxa"/>
          <w:tblLook w:val="04A0"/>
        </w:tblPrEx>
        <w:trPr>
          <w:trHeight w:val="300"/>
        </w:trPr>
        <w:tc>
          <w:tcPr>
            <w:tcW w:w="3261" w:type="dxa"/>
            <w:tcBorders>
              <w:top w:val="nil"/>
              <w:left w:val="single" w:sz="4" w:space="0" w:color="auto"/>
              <w:bottom w:val="single" w:sz="4" w:space="0" w:color="auto"/>
              <w:right w:val="single" w:sz="4" w:space="0" w:color="auto"/>
            </w:tcBorders>
            <w:shd w:val="clear" w:color="auto" w:fill="auto"/>
            <w:noWrap/>
            <w:hideMark/>
          </w:tcPr>
          <w:p w:rsidR="00F23C9A" w:rsidRPr="005B3783" w:rsidP="00F23C9A">
            <w:r w:rsidRPr="005B3783">
              <w:t>Estimated total borrowing</w:t>
            </w:r>
          </w:p>
        </w:tc>
        <w:tc>
          <w:tcPr>
            <w:tcW w:w="1417" w:type="dxa"/>
            <w:tcBorders>
              <w:top w:val="nil"/>
              <w:left w:val="nil"/>
              <w:bottom w:val="single" w:sz="4" w:space="0" w:color="auto"/>
              <w:right w:val="single" w:sz="4" w:space="0" w:color="auto"/>
            </w:tcBorders>
            <w:shd w:val="clear" w:color="auto" w:fill="auto"/>
            <w:noWrap/>
          </w:tcPr>
          <w:p w:rsidR="00F23C9A" w:rsidRPr="005B3783" w:rsidP="00F23C9A">
            <w:pPr>
              <w:jc w:val="center"/>
            </w:pPr>
            <w:r w:rsidRPr="005B3783">
              <w:t>1,062</w:t>
            </w:r>
          </w:p>
        </w:tc>
        <w:tc>
          <w:tcPr>
            <w:tcW w:w="1418" w:type="dxa"/>
            <w:tcBorders>
              <w:top w:val="nil"/>
              <w:left w:val="nil"/>
              <w:bottom w:val="single" w:sz="4" w:space="0" w:color="auto"/>
              <w:right w:val="single" w:sz="4" w:space="0" w:color="auto"/>
            </w:tcBorders>
            <w:shd w:val="clear" w:color="auto" w:fill="auto"/>
            <w:noWrap/>
          </w:tcPr>
          <w:p w:rsidR="00F23C9A" w:rsidRPr="005B3783" w:rsidP="00F23C9A">
            <w:pPr>
              <w:jc w:val="center"/>
            </w:pPr>
            <w:r w:rsidRPr="005B3783">
              <w:t>1,088</w:t>
            </w:r>
          </w:p>
        </w:tc>
        <w:tc>
          <w:tcPr>
            <w:tcW w:w="1417" w:type="dxa"/>
            <w:tcBorders>
              <w:top w:val="nil"/>
              <w:left w:val="nil"/>
              <w:bottom w:val="single" w:sz="4" w:space="0" w:color="auto"/>
              <w:right w:val="single" w:sz="4" w:space="0" w:color="auto"/>
            </w:tcBorders>
            <w:shd w:val="clear" w:color="auto" w:fill="auto"/>
            <w:noWrap/>
          </w:tcPr>
          <w:p w:rsidR="00F23C9A" w:rsidRPr="005B3783" w:rsidP="00F23C9A">
            <w:pPr>
              <w:jc w:val="center"/>
            </w:pPr>
            <w:r w:rsidRPr="005B3783">
              <w:t>1,112</w:t>
            </w:r>
          </w:p>
        </w:tc>
        <w:tc>
          <w:tcPr>
            <w:tcW w:w="1418" w:type="dxa"/>
            <w:tcBorders>
              <w:top w:val="nil"/>
              <w:left w:val="nil"/>
              <w:bottom w:val="single" w:sz="4" w:space="0" w:color="auto"/>
              <w:right w:val="single" w:sz="4" w:space="0" w:color="auto"/>
            </w:tcBorders>
            <w:shd w:val="clear" w:color="auto" w:fill="auto"/>
            <w:noWrap/>
          </w:tcPr>
          <w:p w:rsidR="00F23C9A" w:rsidRPr="005B3783" w:rsidP="00F23C9A">
            <w:pPr>
              <w:jc w:val="center"/>
            </w:pPr>
            <w:r w:rsidRPr="005B3783">
              <w:t>1,135</w:t>
            </w:r>
          </w:p>
        </w:tc>
      </w:tr>
      <w:tr w:rsidTr="00F23C9A">
        <w:tblPrEx>
          <w:tblW w:w="8931" w:type="dxa"/>
          <w:tblLook w:val="04A0"/>
        </w:tblPrEx>
        <w:trPr>
          <w:trHeight w:val="300"/>
        </w:trPr>
        <w:tc>
          <w:tcPr>
            <w:tcW w:w="3261" w:type="dxa"/>
            <w:tcBorders>
              <w:top w:val="nil"/>
              <w:left w:val="single" w:sz="4" w:space="0" w:color="auto"/>
              <w:bottom w:val="single" w:sz="4" w:space="0" w:color="auto"/>
              <w:right w:val="single" w:sz="4" w:space="0" w:color="auto"/>
            </w:tcBorders>
            <w:shd w:val="clear" w:color="auto" w:fill="auto"/>
            <w:noWrap/>
          </w:tcPr>
          <w:p w:rsidR="00F23C9A" w:rsidRPr="005B3783" w:rsidP="00F23C9A">
            <w:r w:rsidRPr="005B3783">
              <w:t>Borrowing in excess of capital financing requirement</w:t>
            </w:r>
          </w:p>
        </w:tc>
        <w:tc>
          <w:tcPr>
            <w:tcW w:w="1417" w:type="dxa"/>
            <w:tcBorders>
              <w:top w:val="nil"/>
              <w:left w:val="nil"/>
              <w:bottom w:val="single" w:sz="4" w:space="0" w:color="auto"/>
              <w:right w:val="single" w:sz="4" w:space="0" w:color="auto"/>
            </w:tcBorders>
            <w:shd w:val="clear" w:color="auto" w:fill="auto"/>
            <w:noWrap/>
          </w:tcPr>
          <w:p w:rsidR="00F23C9A" w:rsidRPr="005B3783" w:rsidP="00F23C9A">
            <w:pPr>
              <w:jc w:val="center"/>
            </w:pPr>
            <w:r w:rsidRPr="005B3783">
              <w:t>84</w:t>
            </w:r>
          </w:p>
        </w:tc>
        <w:tc>
          <w:tcPr>
            <w:tcW w:w="1418" w:type="dxa"/>
            <w:tcBorders>
              <w:top w:val="nil"/>
              <w:left w:val="nil"/>
              <w:bottom w:val="single" w:sz="4" w:space="0" w:color="auto"/>
              <w:right w:val="single" w:sz="4" w:space="0" w:color="auto"/>
            </w:tcBorders>
            <w:shd w:val="clear" w:color="auto" w:fill="auto"/>
            <w:noWrap/>
          </w:tcPr>
          <w:p w:rsidR="00F23C9A" w:rsidRPr="005B3783" w:rsidP="00F23C9A">
            <w:pPr>
              <w:jc w:val="center"/>
            </w:pPr>
            <w:r w:rsidRPr="005B3783">
              <w:t>79</w:t>
            </w:r>
          </w:p>
        </w:tc>
        <w:tc>
          <w:tcPr>
            <w:tcW w:w="1417" w:type="dxa"/>
            <w:tcBorders>
              <w:top w:val="nil"/>
              <w:left w:val="nil"/>
              <w:bottom w:val="single" w:sz="4" w:space="0" w:color="auto"/>
              <w:right w:val="single" w:sz="4" w:space="0" w:color="auto"/>
            </w:tcBorders>
            <w:shd w:val="clear" w:color="auto" w:fill="auto"/>
            <w:noWrap/>
          </w:tcPr>
          <w:p w:rsidR="00F23C9A" w:rsidRPr="005B3783" w:rsidP="00F23C9A">
            <w:pPr>
              <w:jc w:val="center"/>
            </w:pPr>
            <w:r w:rsidRPr="005B3783">
              <w:t>74</w:t>
            </w:r>
          </w:p>
        </w:tc>
        <w:tc>
          <w:tcPr>
            <w:tcW w:w="1418" w:type="dxa"/>
            <w:tcBorders>
              <w:top w:val="nil"/>
              <w:left w:val="nil"/>
              <w:bottom w:val="single" w:sz="4" w:space="0" w:color="auto"/>
              <w:right w:val="single" w:sz="4" w:space="0" w:color="auto"/>
            </w:tcBorders>
            <w:shd w:val="clear" w:color="auto" w:fill="auto"/>
            <w:noWrap/>
          </w:tcPr>
          <w:p w:rsidR="00F23C9A" w:rsidRPr="005B3783" w:rsidP="00F23C9A">
            <w:pPr>
              <w:jc w:val="center"/>
            </w:pPr>
            <w:r w:rsidRPr="005B3783">
              <w:t>69</w:t>
            </w:r>
          </w:p>
        </w:tc>
      </w:tr>
      <w:tr w:rsidTr="00F23C9A">
        <w:tblPrEx>
          <w:tblW w:w="8931" w:type="dxa"/>
          <w:tblLook w:val="04A0"/>
        </w:tblPrEx>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tcPr>
          <w:p w:rsidR="00F23C9A" w:rsidRPr="005B3783" w:rsidP="00F23C9A">
            <w:r w:rsidRPr="005B3783">
              <w:t>Represented by:</w:t>
            </w:r>
          </w:p>
        </w:tc>
        <w:tc>
          <w:tcPr>
            <w:tcW w:w="1417" w:type="dxa"/>
            <w:tcBorders>
              <w:top w:val="single" w:sz="4" w:space="0" w:color="auto"/>
              <w:left w:val="nil"/>
              <w:bottom w:val="single" w:sz="4" w:space="0" w:color="auto"/>
              <w:right w:val="single" w:sz="4" w:space="0" w:color="auto"/>
            </w:tcBorders>
            <w:shd w:val="clear" w:color="auto" w:fill="auto"/>
            <w:noWrap/>
          </w:tcPr>
          <w:p w:rsidR="00F23C9A" w:rsidRPr="005B3783" w:rsidP="00F23C9A">
            <w:pPr>
              <w:jc w:val="center"/>
            </w:pPr>
          </w:p>
        </w:tc>
        <w:tc>
          <w:tcPr>
            <w:tcW w:w="1418" w:type="dxa"/>
            <w:tcBorders>
              <w:top w:val="single" w:sz="4" w:space="0" w:color="auto"/>
              <w:left w:val="nil"/>
              <w:bottom w:val="single" w:sz="4" w:space="0" w:color="auto"/>
              <w:right w:val="single" w:sz="4" w:space="0" w:color="auto"/>
            </w:tcBorders>
            <w:shd w:val="clear" w:color="auto" w:fill="auto"/>
            <w:noWrap/>
          </w:tcPr>
          <w:p w:rsidR="00F23C9A" w:rsidRPr="005B3783" w:rsidP="00F23C9A">
            <w:pPr>
              <w:jc w:val="center"/>
            </w:pPr>
          </w:p>
        </w:tc>
        <w:tc>
          <w:tcPr>
            <w:tcW w:w="1417" w:type="dxa"/>
            <w:tcBorders>
              <w:top w:val="single" w:sz="4" w:space="0" w:color="auto"/>
              <w:left w:val="nil"/>
              <w:bottom w:val="single" w:sz="4" w:space="0" w:color="auto"/>
              <w:right w:val="single" w:sz="4" w:space="0" w:color="auto"/>
            </w:tcBorders>
            <w:shd w:val="clear" w:color="auto" w:fill="auto"/>
            <w:noWrap/>
          </w:tcPr>
          <w:p w:rsidR="00F23C9A" w:rsidRPr="005B3783" w:rsidP="00F23C9A">
            <w:pPr>
              <w:jc w:val="center"/>
            </w:pPr>
          </w:p>
        </w:tc>
        <w:tc>
          <w:tcPr>
            <w:tcW w:w="1418" w:type="dxa"/>
            <w:tcBorders>
              <w:top w:val="single" w:sz="4" w:space="0" w:color="auto"/>
              <w:left w:val="nil"/>
              <w:bottom w:val="single" w:sz="4" w:space="0" w:color="auto"/>
              <w:right w:val="single" w:sz="4" w:space="0" w:color="auto"/>
            </w:tcBorders>
            <w:shd w:val="clear" w:color="auto" w:fill="auto"/>
            <w:noWrap/>
          </w:tcPr>
          <w:p w:rsidR="00F23C9A" w:rsidRPr="005B3783" w:rsidP="00F23C9A">
            <w:pPr>
              <w:jc w:val="center"/>
            </w:pPr>
          </w:p>
        </w:tc>
      </w:tr>
      <w:tr w:rsidTr="00F23C9A">
        <w:tblPrEx>
          <w:tblW w:w="8931" w:type="dxa"/>
          <w:tblLook w:val="04A0"/>
        </w:tblPrEx>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hideMark/>
          </w:tcPr>
          <w:p w:rsidR="00F23C9A" w:rsidRPr="005B3783" w:rsidP="00F23C9A">
            <w:r w:rsidRPr="005B3783">
              <w:t>Premiums</w:t>
            </w:r>
          </w:p>
        </w:tc>
        <w:tc>
          <w:tcPr>
            <w:tcW w:w="1417" w:type="dxa"/>
            <w:tcBorders>
              <w:top w:val="single" w:sz="4" w:space="0" w:color="auto"/>
              <w:left w:val="nil"/>
              <w:bottom w:val="single" w:sz="4" w:space="0" w:color="auto"/>
              <w:right w:val="single" w:sz="4" w:space="0" w:color="auto"/>
            </w:tcBorders>
            <w:shd w:val="clear" w:color="auto" w:fill="auto"/>
            <w:noWrap/>
          </w:tcPr>
          <w:p w:rsidR="00F23C9A" w:rsidRPr="005B3783" w:rsidP="00F23C9A">
            <w:pPr>
              <w:jc w:val="center"/>
            </w:pPr>
            <w:r w:rsidRPr="005B3783">
              <w:t>41</w:t>
            </w:r>
          </w:p>
        </w:tc>
        <w:tc>
          <w:tcPr>
            <w:tcW w:w="1418" w:type="dxa"/>
            <w:tcBorders>
              <w:top w:val="single" w:sz="4" w:space="0" w:color="auto"/>
              <w:left w:val="nil"/>
              <w:bottom w:val="single" w:sz="4" w:space="0" w:color="auto"/>
              <w:right w:val="single" w:sz="4" w:space="0" w:color="auto"/>
            </w:tcBorders>
            <w:shd w:val="clear" w:color="auto" w:fill="auto"/>
            <w:noWrap/>
          </w:tcPr>
          <w:p w:rsidR="00F23C9A" w:rsidRPr="005B3783" w:rsidP="00F23C9A">
            <w:pPr>
              <w:jc w:val="center"/>
            </w:pPr>
            <w:r w:rsidRPr="005B3783">
              <w:t>38</w:t>
            </w:r>
          </w:p>
        </w:tc>
        <w:tc>
          <w:tcPr>
            <w:tcW w:w="1417" w:type="dxa"/>
            <w:tcBorders>
              <w:top w:val="single" w:sz="4" w:space="0" w:color="auto"/>
              <w:left w:val="nil"/>
              <w:bottom w:val="single" w:sz="4" w:space="0" w:color="auto"/>
              <w:right w:val="single" w:sz="4" w:space="0" w:color="auto"/>
            </w:tcBorders>
            <w:shd w:val="clear" w:color="auto" w:fill="auto"/>
            <w:noWrap/>
          </w:tcPr>
          <w:p w:rsidR="00F23C9A" w:rsidRPr="005B3783" w:rsidP="00F23C9A">
            <w:pPr>
              <w:jc w:val="center"/>
            </w:pPr>
            <w:r w:rsidRPr="005B3783">
              <w:t>35</w:t>
            </w:r>
          </w:p>
        </w:tc>
        <w:tc>
          <w:tcPr>
            <w:tcW w:w="1418" w:type="dxa"/>
            <w:tcBorders>
              <w:top w:val="single" w:sz="4" w:space="0" w:color="auto"/>
              <w:left w:val="nil"/>
              <w:bottom w:val="single" w:sz="4" w:space="0" w:color="auto"/>
              <w:right w:val="single" w:sz="4" w:space="0" w:color="auto"/>
            </w:tcBorders>
            <w:shd w:val="clear" w:color="auto" w:fill="auto"/>
            <w:noWrap/>
          </w:tcPr>
          <w:p w:rsidR="00F23C9A" w:rsidRPr="005B3783" w:rsidP="00F23C9A">
            <w:pPr>
              <w:jc w:val="center"/>
            </w:pPr>
            <w:r w:rsidRPr="005B3783">
              <w:t>32</w:t>
            </w:r>
          </w:p>
        </w:tc>
      </w:tr>
      <w:tr w:rsidTr="00F23C9A">
        <w:tblPrEx>
          <w:tblW w:w="8931" w:type="dxa"/>
          <w:tblLook w:val="04A0"/>
        </w:tblPrEx>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tcPr>
          <w:p w:rsidR="00F23C9A" w:rsidRPr="005B3783" w:rsidP="00F23C9A">
            <w:r w:rsidRPr="005B3783">
              <w:t xml:space="preserve">Borrowing relating to other authorities </w:t>
            </w:r>
          </w:p>
        </w:tc>
        <w:tc>
          <w:tcPr>
            <w:tcW w:w="1417" w:type="dxa"/>
            <w:tcBorders>
              <w:top w:val="single" w:sz="4" w:space="0" w:color="auto"/>
              <w:left w:val="nil"/>
              <w:bottom w:val="single" w:sz="4" w:space="0" w:color="auto"/>
              <w:right w:val="single" w:sz="4" w:space="0" w:color="auto"/>
            </w:tcBorders>
            <w:shd w:val="clear" w:color="auto" w:fill="auto"/>
            <w:noWrap/>
          </w:tcPr>
          <w:p w:rsidR="00F23C9A" w:rsidRPr="005B3783" w:rsidP="00F23C9A">
            <w:pPr>
              <w:jc w:val="center"/>
            </w:pPr>
            <w:r w:rsidRPr="005B3783">
              <w:t>43</w:t>
            </w:r>
          </w:p>
        </w:tc>
        <w:tc>
          <w:tcPr>
            <w:tcW w:w="1418" w:type="dxa"/>
            <w:tcBorders>
              <w:top w:val="single" w:sz="4" w:space="0" w:color="auto"/>
              <w:left w:val="nil"/>
              <w:bottom w:val="single" w:sz="4" w:space="0" w:color="auto"/>
              <w:right w:val="single" w:sz="4" w:space="0" w:color="auto"/>
            </w:tcBorders>
            <w:shd w:val="clear" w:color="auto" w:fill="auto"/>
            <w:noWrap/>
          </w:tcPr>
          <w:p w:rsidR="00F23C9A" w:rsidRPr="005B3783" w:rsidP="00F23C9A">
            <w:pPr>
              <w:jc w:val="center"/>
            </w:pPr>
            <w:r w:rsidRPr="005B3783">
              <w:t>41</w:t>
            </w:r>
          </w:p>
        </w:tc>
        <w:tc>
          <w:tcPr>
            <w:tcW w:w="1417" w:type="dxa"/>
            <w:tcBorders>
              <w:top w:val="single" w:sz="4" w:space="0" w:color="auto"/>
              <w:left w:val="nil"/>
              <w:bottom w:val="single" w:sz="4" w:space="0" w:color="auto"/>
              <w:right w:val="single" w:sz="4" w:space="0" w:color="auto"/>
            </w:tcBorders>
            <w:shd w:val="clear" w:color="auto" w:fill="auto"/>
            <w:noWrap/>
          </w:tcPr>
          <w:p w:rsidR="00F23C9A" w:rsidRPr="005B3783" w:rsidP="00F23C9A">
            <w:pPr>
              <w:jc w:val="center"/>
            </w:pPr>
            <w:r w:rsidRPr="005B3783">
              <w:t>39</w:t>
            </w:r>
          </w:p>
        </w:tc>
        <w:tc>
          <w:tcPr>
            <w:tcW w:w="1418" w:type="dxa"/>
            <w:tcBorders>
              <w:top w:val="single" w:sz="4" w:space="0" w:color="auto"/>
              <w:left w:val="nil"/>
              <w:bottom w:val="single" w:sz="4" w:space="0" w:color="auto"/>
              <w:right w:val="single" w:sz="4" w:space="0" w:color="auto"/>
            </w:tcBorders>
            <w:shd w:val="clear" w:color="auto" w:fill="auto"/>
            <w:noWrap/>
          </w:tcPr>
          <w:p w:rsidR="00F23C9A" w:rsidRPr="005B3783" w:rsidP="00F23C9A">
            <w:pPr>
              <w:jc w:val="center"/>
            </w:pPr>
            <w:r w:rsidRPr="005B3783">
              <w:t>37</w:t>
            </w:r>
          </w:p>
        </w:tc>
      </w:tr>
    </w:tbl>
    <w:p w:rsidR="00F23C9A" w:rsidRPr="005B3783" w:rsidP="00F23C9A">
      <w:pPr>
        <w:jc w:val="both"/>
      </w:pPr>
    </w:p>
    <w:p w:rsidR="00F23C9A" w:rsidP="00F23C9A">
      <w:pPr>
        <w:jc w:val="both"/>
      </w:pPr>
      <w:r w:rsidRPr="005B3783">
        <w:t>The indicators and limits relating to specific treasury management activities are set out as follows.</w:t>
      </w:r>
    </w:p>
    <w:p w:rsidR="00BC19F8" w:rsidRPr="005B3783" w:rsidP="00F23C9A">
      <w:pPr>
        <w:jc w:val="both"/>
      </w:pPr>
    </w:p>
    <w:p w:rsidR="00F23C9A" w:rsidRPr="004F4E88" w:rsidP="00F23C9A">
      <w:pPr>
        <w:pStyle w:val="ListParagraph"/>
        <w:spacing w:line="276" w:lineRule="auto"/>
        <w:ind w:left="0"/>
        <w:rPr>
          <w:b/>
          <w:i/>
          <w:color w:val="000000"/>
        </w:rPr>
      </w:pPr>
      <w:r w:rsidRPr="004F4E88">
        <w:rPr>
          <w:b/>
          <w:i/>
          <w:color w:val="000000"/>
        </w:rPr>
        <w:t>Interest rate exposure</w:t>
      </w:r>
    </w:p>
    <w:p w:rsidR="00F23C9A" w:rsidRPr="004F4E88" w:rsidP="00F23C9A">
      <w:pPr>
        <w:pStyle w:val="ListParagraph"/>
        <w:spacing w:line="276" w:lineRule="auto"/>
        <w:ind w:left="0"/>
        <w:rPr>
          <w:b/>
          <w:i/>
          <w:color w:val="000000"/>
        </w:rPr>
      </w:pPr>
    </w:p>
    <w:p w:rsidR="00F23C9A" w:rsidRPr="004F4E88" w:rsidP="00F23C9A">
      <w:pPr>
        <w:jc w:val="both"/>
      </w:pPr>
      <w:r w:rsidRPr="004F4E88">
        <w:t>In order to control interest rate risk</w:t>
      </w:r>
      <w:r>
        <w:t>,</w:t>
      </w:r>
      <w:r w:rsidRPr="004F4E88">
        <w:t xml:space="preserve"> the council measures its exposure to interest rate movements. These indicators place limits on the overall amount of risk the council is exposed to. The one year impact indicator calculates the theoretical impact on the revenue account of an immediate 1% rise in all interest rates over the course of one financial year.</w:t>
      </w:r>
    </w:p>
    <w:tbl>
      <w:tblPr>
        <w:tblStyle w:val="TableGrid"/>
        <w:tblW w:w="9067" w:type="dxa"/>
        <w:tblLook w:val="04A0"/>
      </w:tblPr>
      <w:tblGrid>
        <w:gridCol w:w="7225"/>
        <w:gridCol w:w="1842"/>
      </w:tblGrid>
      <w:tr w:rsidTr="00F23C9A">
        <w:tblPrEx>
          <w:tblW w:w="9067" w:type="dxa"/>
          <w:tblLook w:val="04A0"/>
        </w:tblPrEx>
        <w:tc>
          <w:tcPr>
            <w:tcW w:w="7225" w:type="dxa"/>
          </w:tcPr>
          <w:p w:rsidR="00F23C9A" w:rsidRPr="004F4E88" w:rsidP="00F23C9A">
            <w:pPr>
              <w:rPr>
                <w:b/>
              </w:rPr>
            </w:pPr>
          </w:p>
        </w:tc>
        <w:tc>
          <w:tcPr>
            <w:tcW w:w="1842" w:type="dxa"/>
            <w:vAlign w:val="center"/>
          </w:tcPr>
          <w:p w:rsidR="00F23C9A" w:rsidRPr="004F4E88" w:rsidP="00F23C9A">
            <w:pPr>
              <w:jc w:val="center"/>
            </w:pPr>
            <w:r w:rsidRPr="004F4E88">
              <w:t>Upper Limit</w:t>
            </w:r>
          </w:p>
        </w:tc>
      </w:tr>
      <w:tr w:rsidTr="00F23C9A">
        <w:tblPrEx>
          <w:tblW w:w="9067" w:type="dxa"/>
          <w:tblLook w:val="04A0"/>
        </w:tblPrEx>
        <w:tc>
          <w:tcPr>
            <w:tcW w:w="7225" w:type="dxa"/>
          </w:tcPr>
          <w:p w:rsidR="00F23C9A" w:rsidRPr="004F4E88" w:rsidP="00F23C9A">
            <w:r w:rsidRPr="004F4E88">
              <w:t xml:space="preserve">Upper limit on one-year revenue impact of a 1% rise in interest rates </w:t>
            </w:r>
          </w:p>
        </w:tc>
        <w:tc>
          <w:tcPr>
            <w:tcW w:w="1842" w:type="dxa"/>
            <w:vAlign w:val="center"/>
          </w:tcPr>
          <w:p w:rsidR="00F23C9A" w:rsidRPr="004F4E88" w:rsidP="00F23C9A">
            <w:pPr>
              <w:jc w:val="right"/>
            </w:pPr>
            <w:r w:rsidRPr="004F4E88">
              <w:t>£50m</w:t>
            </w:r>
          </w:p>
        </w:tc>
      </w:tr>
    </w:tbl>
    <w:p w:rsidR="00F23C9A" w:rsidRPr="004F4E88" w:rsidP="00F23C9A">
      <w:pPr>
        <w:pStyle w:val="ListParagraph"/>
        <w:tabs>
          <w:tab w:val="left" w:pos="3285"/>
        </w:tabs>
        <w:spacing w:line="276" w:lineRule="auto"/>
        <w:ind w:left="-108" w:firstLine="108"/>
        <w:rPr>
          <w:b/>
          <w:i/>
        </w:rPr>
      </w:pPr>
    </w:p>
    <w:p w:rsidR="00F23C9A" w:rsidRPr="004F4E88" w:rsidP="00F23C9A">
      <w:pPr>
        <w:pStyle w:val="ListParagraph"/>
        <w:tabs>
          <w:tab w:val="left" w:pos="3285"/>
        </w:tabs>
        <w:spacing w:line="276" w:lineRule="auto"/>
        <w:ind w:left="-108" w:firstLine="108"/>
        <w:rPr>
          <w:b/>
          <w:i/>
        </w:rPr>
      </w:pPr>
      <w:r w:rsidRPr="004F4E88">
        <w:rPr>
          <w:b/>
          <w:i/>
        </w:rPr>
        <w:t>Maturity structure of debt</w:t>
      </w:r>
    </w:p>
    <w:p w:rsidR="00F23C9A" w:rsidRPr="004F4E88" w:rsidP="00F23C9A">
      <w:pPr>
        <w:pStyle w:val="ListParagraph"/>
        <w:tabs>
          <w:tab w:val="left" w:pos="3285"/>
        </w:tabs>
        <w:spacing w:line="276" w:lineRule="auto"/>
        <w:ind w:left="-108" w:firstLine="108"/>
        <w:rPr>
          <w:b/>
          <w:i/>
        </w:rPr>
      </w:pPr>
    </w:p>
    <w:p w:rsidR="00F23C9A" w:rsidRPr="004F4E88" w:rsidP="00F23C9A">
      <w:pPr>
        <w:pStyle w:val="ListParagraph"/>
        <w:tabs>
          <w:tab w:val="left" w:pos="3285"/>
        </w:tabs>
        <w:spacing w:line="276" w:lineRule="auto"/>
        <w:ind w:left="-108" w:firstLine="108"/>
      </w:pPr>
      <w:r w:rsidRPr="004F4E88">
        <w:t>Limits on the maturity structure of debt help control refinancing risk.</w:t>
      </w:r>
    </w:p>
    <w:tbl>
      <w:tblPr>
        <w:tblW w:w="9072" w:type="dxa"/>
        <w:tblInd w:w="-5" w:type="dxa"/>
        <w:tblLook w:val="04A0"/>
      </w:tblPr>
      <w:tblGrid>
        <w:gridCol w:w="7230"/>
        <w:gridCol w:w="1842"/>
      </w:tblGrid>
      <w:tr w:rsidTr="00F23C9A">
        <w:tblPrEx>
          <w:tblW w:w="9072" w:type="dxa"/>
          <w:tblInd w:w="-5" w:type="dxa"/>
          <w:tblLook w:val="04A0"/>
        </w:tblPrEx>
        <w:trPr>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C9A" w:rsidRPr="004F4E88" w:rsidP="00F23C9A">
            <w:pPr>
              <w:rPr>
                <w:color w:val="000000"/>
              </w:rPr>
            </w:pPr>
            <w:r w:rsidRPr="004F4E88">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23C9A" w:rsidRPr="004F4E88" w:rsidP="00F23C9A">
            <w:pPr>
              <w:jc w:val="center"/>
              <w:rPr>
                <w:color w:val="000000"/>
              </w:rPr>
            </w:pPr>
            <w:r w:rsidRPr="004F4E88">
              <w:rPr>
                <w:color w:val="000000"/>
              </w:rPr>
              <w:t>Upper Limit</w:t>
            </w:r>
          </w:p>
        </w:tc>
      </w:tr>
      <w:tr w:rsidTr="00F23C9A">
        <w:tblPrEx>
          <w:tblW w:w="9072" w:type="dxa"/>
          <w:tblInd w:w="-5" w:type="dxa"/>
          <w:tblLook w:val="04A0"/>
        </w:tblPrEx>
        <w:trPr>
          <w:trHeight w:val="30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F23C9A" w:rsidRPr="004F4E88" w:rsidP="00F23C9A">
            <w:pPr>
              <w:rPr>
                <w:color w:val="000000"/>
              </w:rPr>
            </w:pPr>
            <w:r w:rsidRPr="004F4E88">
              <w:rPr>
                <w:color w:val="000000"/>
              </w:rPr>
              <w:t>Under 12 months</w:t>
            </w:r>
          </w:p>
        </w:tc>
        <w:tc>
          <w:tcPr>
            <w:tcW w:w="1842" w:type="dxa"/>
            <w:tcBorders>
              <w:top w:val="nil"/>
              <w:left w:val="nil"/>
              <w:bottom w:val="single" w:sz="4" w:space="0" w:color="auto"/>
              <w:right w:val="single" w:sz="4" w:space="0" w:color="auto"/>
            </w:tcBorders>
            <w:shd w:val="clear" w:color="auto" w:fill="auto"/>
            <w:noWrap/>
            <w:vAlign w:val="bottom"/>
            <w:hideMark/>
          </w:tcPr>
          <w:p w:rsidR="00F23C9A" w:rsidRPr="004F4E88" w:rsidP="00F23C9A">
            <w:pPr>
              <w:jc w:val="right"/>
              <w:rPr>
                <w:color w:val="000000"/>
              </w:rPr>
            </w:pPr>
            <w:r w:rsidRPr="004F4E88">
              <w:rPr>
                <w:color w:val="000000"/>
              </w:rPr>
              <w:t>75%</w:t>
            </w:r>
          </w:p>
        </w:tc>
      </w:tr>
      <w:tr w:rsidTr="00F23C9A">
        <w:tblPrEx>
          <w:tblW w:w="9072" w:type="dxa"/>
          <w:tblInd w:w="-5" w:type="dxa"/>
          <w:tblLook w:val="04A0"/>
        </w:tblPrEx>
        <w:trPr>
          <w:trHeight w:val="30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F23C9A" w:rsidRPr="004F4E88" w:rsidP="00F23C9A">
            <w:pPr>
              <w:rPr>
                <w:color w:val="000000"/>
              </w:rPr>
            </w:pPr>
            <w:r w:rsidRPr="004F4E88">
              <w:rPr>
                <w:color w:val="000000"/>
              </w:rPr>
              <w:t>12 months and within 2 years</w:t>
            </w:r>
          </w:p>
        </w:tc>
        <w:tc>
          <w:tcPr>
            <w:tcW w:w="1842" w:type="dxa"/>
            <w:tcBorders>
              <w:top w:val="nil"/>
              <w:left w:val="nil"/>
              <w:bottom w:val="single" w:sz="4" w:space="0" w:color="auto"/>
              <w:right w:val="single" w:sz="4" w:space="0" w:color="auto"/>
            </w:tcBorders>
            <w:shd w:val="clear" w:color="auto" w:fill="auto"/>
            <w:noWrap/>
            <w:vAlign w:val="bottom"/>
            <w:hideMark/>
          </w:tcPr>
          <w:p w:rsidR="00F23C9A" w:rsidRPr="004F4E88" w:rsidP="00F23C9A">
            <w:pPr>
              <w:jc w:val="right"/>
              <w:rPr>
                <w:color w:val="000000"/>
              </w:rPr>
            </w:pPr>
            <w:r w:rsidRPr="004F4E88">
              <w:rPr>
                <w:color w:val="000000"/>
              </w:rPr>
              <w:t>75%</w:t>
            </w:r>
          </w:p>
        </w:tc>
      </w:tr>
      <w:tr w:rsidTr="00F23C9A">
        <w:tblPrEx>
          <w:tblW w:w="9072" w:type="dxa"/>
          <w:tblInd w:w="-5" w:type="dxa"/>
          <w:tblLook w:val="04A0"/>
        </w:tblPrEx>
        <w:trPr>
          <w:trHeight w:val="30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F23C9A" w:rsidRPr="004F4E88" w:rsidP="00F23C9A">
            <w:pPr>
              <w:rPr>
                <w:color w:val="000000"/>
              </w:rPr>
            </w:pPr>
            <w:r w:rsidRPr="004F4E88">
              <w:rPr>
                <w:color w:val="000000"/>
              </w:rPr>
              <w:t>2 years and within 5 years</w:t>
            </w:r>
          </w:p>
        </w:tc>
        <w:tc>
          <w:tcPr>
            <w:tcW w:w="1842" w:type="dxa"/>
            <w:tcBorders>
              <w:top w:val="nil"/>
              <w:left w:val="nil"/>
              <w:bottom w:val="single" w:sz="4" w:space="0" w:color="auto"/>
              <w:right w:val="single" w:sz="4" w:space="0" w:color="auto"/>
            </w:tcBorders>
            <w:shd w:val="clear" w:color="auto" w:fill="auto"/>
            <w:noWrap/>
            <w:vAlign w:val="bottom"/>
            <w:hideMark/>
          </w:tcPr>
          <w:p w:rsidR="00F23C9A" w:rsidRPr="004F4E88" w:rsidP="00F23C9A">
            <w:pPr>
              <w:jc w:val="right"/>
              <w:rPr>
                <w:color w:val="000000"/>
              </w:rPr>
            </w:pPr>
            <w:r w:rsidRPr="004F4E88">
              <w:rPr>
                <w:color w:val="000000"/>
              </w:rPr>
              <w:t>75%</w:t>
            </w:r>
          </w:p>
        </w:tc>
      </w:tr>
      <w:tr w:rsidTr="00F23C9A">
        <w:tblPrEx>
          <w:tblW w:w="9072" w:type="dxa"/>
          <w:tblInd w:w="-5" w:type="dxa"/>
          <w:tblLook w:val="04A0"/>
        </w:tblPrEx>
        <w:trPr>
          <w:trHeight w:val="30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F23C9A" w:rsidRPr="004F4E88" w:rsidP="00F23C9A">
            <w:pPr>
              <w:rPr>
                <w:color w:val="000000"/>
              </w:rPr>
            </w:pPr>
            <w:r w:rsidRPr="004F4E88">
              <w:rPr>
                <w:color w:val="000000"/>
              </w:rPr>
              <w:t>5 years and within 10 years</w:t>
            </w:r>
          </w:p>
        </w:tc>
        <w:tc>
          <w:tcPr>
            <w:tcW w:w="1842" w:type="dxa"/>
            <w:tcBorders>
              <w:top w:val="nil"/>
              <w:left w:val="nil"/>
              <w:bottom w:val="single" w:sz="4" w:space="0" w:color="auto"/>
              <w:right w:val="single" w:sz="4" w:space="0" w:color="auto"/>
            </w:tcBorders>
            <w:shd w:val="clear" w:color="auto" w:fill="auto"/>
            <w:noWrap/>
            <w:vAlign w:val="bottom"/>
            <w:hideMark/>
          </w:tcPr>
          <w:p w:rsidR="00F23C9A" w:rsidRPr="004F4E88" w:rsidP="00F23C9A">
            <w:pPr>
              <w:jc w:val="right"/>
              <w:rPr>
                <w:color w:val="000000"/>
              </w:rPr>
            </w:pPr>
            <w:r w:rsidRPr="004F4E88">
              <w:rPr>
                <w:color w:val="000000"/>
              </w:rPr>
              <w:t>75%</w:t>
            </w:r>
          </w:p>
        </w:tc>
      </w:tr>
      <w:tr w:rsidTr="00F23C9A">
        <w:tblPrEx>
          <w:tblW w:w="9072" w:type="dxa"/>
          <w:tblInd w:w="-5" w:type="dxa"/>
          <w:tblLook w:val="04A0"/>
        </w:tblPrEx>
        <w:trPr>
          <w:trHeight w:val="30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F23C9A" w:rsidRPr="004F4E88" w:rsidP="00F23C9A">
            <w:pPr>
              <w:rPr>
                <w:color w:val="000000"/>
              </w:rPr>
            </w:pPr>
            <w:r w:rsidRPr="004F4E88">
              <w:rPr>
                <w:color w:val="000000"/>
              </w:rPr>
              <w:t>10 years and above</w:t>
            </w:r>
          </w:p>
        </w:tc>
        <w:tc>
          <w:tcPr>
            <w:tcW w:w="1842" w:type="dxa"/>
            <w:tcBorders>
              <w:top w:val="nil"/>
              <w:left w:val="nil"/>
              <w:bottom w:val="single" w:sz="4" w:space="0" w:color="auto"/>
              <w:right w:val="single" w:sz="4" w:space="0" w:color="auto"/>
            </w:tcBorders>
            <w:shd w:val="clear" w:color="auto" w:fill="auto"/>
            <w:noWrap/>
            <w:vAlign w:val="bottom"/>
            <w:hideMark/>
          </w:tcPr>
          <w:p w:rsidR="00F23C9A" w:rsidRPr="004F4E88" w:rsidP="00F23C9A">
            <w:pPr>
              <w:jc w:val="right"/>
              <w:rPr>
                <w:color w:val="000000"/>
              </w:rPr>
            </w:pPr>
            <w:r w:rsidRPr="004F4E88">
              <w:rPr>
                <w:color w:val="000000"/>
              </w:rPr>
              <w:t>75%</w:t>
            </w:r>
          </w:p>
        </w:tc>
      </w:tr>
    </w:tbl>
    <w:p w:rsidR="00F23C9A" w:rsidRPr="00707E3B" w:rsidP="00F23C9A">
      <w:pPr>
        <w:pStyle w:val="ListParagraph"/>
        <w:tabs>
          <w:tab w:val="left" w:pos="0"/>
        </w:tabs>
        <w:spacing w:line="276" w:lineRule="auto"/>
        <w:ind w:left="0"/>
        <w:rPr>
          <w:b/>
          <w:i/>
          <w:color w:val="000000"/>
          <w:highlight w:val="yellow"/>
        </w:rPr>
      </w:pPr>
    </w:p>
    <w:p w:rsidR="00F23C9A" w:rsidRPr="007F2E26" w:rsidP="00F23C9A">
      <w:pPr>
        <w:pStyle w:val="ListParagraph"/>
        <w:tabs>
          <w:tab w:val="left" w:pos="0"/>
        </w:tabs>
        <w:spacing w:line="276" w:lineRule="auto"/>
        <w:ind w:left="0"/>
        <w:rPr>
          <w:b/>
          <w:i/>
          <w:color w:val="000000"/>
        </w:rPr>
      </w:pPr>
      <w:r w:rsidRPr="007F2E26">
        <w:rPr>
          <w:b/>
          <w:i/>
          <w:color w:val="000000"/>
        </w:rPr>
        <w:t>Investments over 1 year</w:t>
      </w:r>
    </w:p>
    <w:p w:rsidR="00F23C9A" w:rsidRPr="007F2E26" w:rsidP="00F23C9A">
      <w:pPr>
        <w:pStyle w:val="ListParagraph"/>
        <w:tabs>
          <w:tab w:val="left" w:pos="0"/>
        </w:tabs>
        <w:spacing w:line="276" w:lineRule="auto"/>
        <w:ind w:left="0"/>
        <w:rPr>
          <w:b/>
          <w:i/>
          <w:color w:val="000000"/>
        </w:rPr>
      </w:pPr>
    </w:p>
    <w:p w:rsidR="00F23C9A" w:rsidRPr="007F2E26" w:rsidP="00F23C9A">
      <w:pPr>
        <w:tabs>
          <w:tab w:val="left" w:pos="0"/>
        </w:tabs>
        <w:jc w:val="both"/>
        <w:rPr>
          <w:color w:val="000000"/>
        </w:rPr>
      </w:pPr>
      <w:r w:rsidRPr="007F2E26">
        <w:rPr>
          <w:color w:val="000000"/>
        </w:rPr>
        <w:t>Limit on the level of long term investments helps to control liquidity, although the majority of these investments are currently held in securities which are readily saleable. The limit is largely determined by the forecast of reserves and balances held at the year-end (currently forecast to be £550m). The level of investments will be managed to be in line with the estimated reserves and balances and cash flow at 31 March 2022 (deemed an operational limit which will be reviewed during the year). However, it is anticipated that there will be positive cash-flows in year which will require a higher level of investments to be held including bonds held specifically for liquidity purposes. Therefore it is proposed that the limit for maturities in excess of one year is £800m for each of the years.</w:t>
      </w:r>
    </w:p>
    <w:p w:rsidR="00F23C9A" w:rsidRPr="007F2E26" w:rsidP="00F23C9A">
      <w:pPr>
        <w:tabs>
          <w:tab w:val="left" w:pos="0"/>
        </w:tabs>
        <w:jc w:val="both"/>
        <w:rPr>
          <w:color w:val="000000"/>
        </w:rPr>
      </w:pPr>
    </w:p>
    <w:tbl>
      <w:tblPr>
        <w:tblStyle w:val="TableGrid"/>
        <w:tblW w:w="9067" w:type="dxa"/>
        <w:tblLook w:val="04A0"/>
      </w:tblPr>
      <w:tblGrid>
        <w:gridCol w:w="7225"/>
        <w:gridCol w:w="1842"/>
      </w:tblGrid>
      <w:tr w:rsidTr="00F23C9A">
        <w:tblPrEx>
          <w:tblW w:w="9067" w:type="dxa"/>
          <w:tblLook w:val="04A0"/>
        </w:tblPrEx>
        <w:trPr>
          <w:trHeight w:val="300"/>
        </w:trPr>
        <w:tc>
          <w:tcPr>
            <w:tcW w:w="7225" w:type="dxa"/>
            <w:noWrap/>
            <w:hideMark/>
          </w:tcPr>
          <w:p w:rsidR="00F23C9A" w:rsidRPr="007F2E26" w:rsidP="00F23C9A">
            <w:pPr>
              <w:rPr>
                <w:color w:val="000000"/>
              </w:rPr>
            </w:pPr>
            <w:r w:rsidRPr="007F2E26">
              <w:rPr>
                <w:color w:val="000000"/>
              </w:rPr>
              <w:t> </w:t>
            </w:r>
          </w:p>
        </w:tc>
        <w:tc>
          <w:tcPr>
            <w:tcW w:w="1842" w:type="dxa"/>
            <w:noWrap/>
            <w:hideMark/>
          </w:tcPr>
          <w:p w:rsidR="00F23C9A" w:rsidRPr="007F2E26" w:rsidP="00F23C9A">
            <w:pPr>
              <w:jc w:val="center"/>
              <w:rPr>
                <w:color w:val="000000"/>
              </w:rPr>
            </w:pPr>
            <w:r w:rsidRPr="007F2E26">
              <w:rPr>
                <w:color w:val="000000"/>
              </w:rPr>
              <w:t>Upper limit</w:t>
            </w:r>
          </w:p>
        </w:tc>
      </w:tr>
      <w:tr w:rsidTr="00F23C9A">
        <w:tblPrEx>
          <w:tblW w:w="9067" w:type="dxa"/>
          <w:tblLook w:val="04A0"/>
        </w:tblPrEx>
        <w:trPr>
          <w:trHeight w:val="300"/>
        </w:trPr>
        <w:tc>
          <w:tcPr>
            <w:tcW w:w="7225" w:type="dxa"/>
            <w:noWrap/>
            <w:hideMark/>
          </w:tcPr>
          <w:p w:rsidR="00F23C9A" w:rsidRPr="007F2E26" w:rsidP="00F23C9A">
            <w:pPr>
              <w:rPr>
                <w:color w:val="000000"/>
              </w:rPr>
            </w:pPr>
            <w:r w:rsidRPr="007F2E26">
              <w:rPr>
                <w:color w:val="000000"/>
              </w:rPr>
              <w:t>Total invested over 1 year</w:t>
            </w:r>
          </w:p>
        </w:tc>
        <w:tc>
          <w:tcPr>
            <w:tcW w:w="1842" w:type="dxa"/>
            <w:noWrap/>
            <w:hideMark/>
          </w:tcPr>
          <w:p w:rsidR="00F23C9A" w:rsidRPr="007F2E26" w:rsidP="00F23C9A">
            <w:pPr>
              <w:jc w:val="right"/>
              <w:rPr>
                <w:color w:val="000000"/>
              </w:rPr>
            </w:pPr>
            <w:r w:rsidRPr="007F2E26">
              <w:rPr>
                <w:color w:val="000000"/>
              </w:rPr>
              <w:t>£800m</w:t>
            </w:r>
          </w:p>
        </w:tc>
      </w:tr>
      <w:tr w:rsidTr="00F23C9A">
        <w:tblPrEx>
          <w:tblW w:w="9067" w:type="dxa"/>
          <w:tblLook w:val="04A0"/>
        </w:tblPrEx>
        <w:trPr>
          <w:trHeight w:val="300"/>
        </w:trPr>
        <w:tc>
          <w:tcPr>
            <w:tcW w:w="7225" w:type="dxa"/>
            <w:noWrap/>
          </w:tcPr>
          <w:p w:rsidR="00F23C9A" w:rsidRPr="007F2E26" w:rsidP="00F23C9A">
            <w:pPr>
              <w:rPr>
                <w:color w:val="000000"/>
              </w:rPr>
            </w:pPr>
            <w:r w:rsidRPr="007F2E26">
              <w:rPr>
                <w:color w:val="000000"/>
              </w:rPr>
              <w:t>Operational or forecast limit at 31 March 2022</w:t>
            </w:r>
          </w:p>
        </w:tc>
        <w:tc>
          <w:tcPr>
            <w:tcW w:w="1842" w:type="dxa"/>
            <w:noWrap/>
          </w:tcPr>
          <w:p w:rsidR="00F23C9A" w:rsidRPr="007F2E26" w:rsidP="00F23C9A">
            <w:pPr>
              <w:jc w:val="right"/>
              <w:rPr>
                <w:color w:val="000000"/>
              </w:rPr>
            </w:pPr>
            <w:r w:rsidRPr="007F2E26">
              <w:rPr>
                <w:color w:val="000000"/>
              </w:rPr>
              <w:t>£550m</w:t>
            </w:r>
          </w:p>
        </w:tc>
      </w:tr>
    </w:tbl>
    <w:p w:rsidR="00F23C9A" w:rsidRPr="007F2E26" w:rsidP="00F23C9A">
      <w:pPr>
        <w:rPr>
          <w:b/>
          <w:i/>
          <w:color w:val="000000"/>
        </w:rPr>
      </w:pPr>
    </w:p>
    <w:p w:rsidR="00F23C9A" w:rsidRPr="007F2E26" w:rsidP="00F23C9A">
      <w:pPr>
        <w:rPr>
          <w:b/>
          <w:i/>
          <w:color w:val="000000"/>
        </w:rPr>
      </w:pPr>
      <w:r w:rsidRPr="007F2E26">
        <w:rPr>
          <w:b/>
          <w:i/>
          <w:color w:val="000000"/>
        </w:rPr>
        <w:t>Minimum average credit rating</w:t>
      </w:r>
    </w:p>
    <w:p w:rsidR="00F23C9A" w:rsidRPr="007F2E26" w:rsidP="00F23C9A">
      <w:pPr>
        <w:rPr>
          <w:b/>
          <w:i/>
          <w:color w:val="000000"/>
        </w:rPr>
      </w:pPr>
    </w:p>
    <w:p w:rsidR="00F23C9A" w:rsidRPr="00EE2DF3" w:rsidP="00F23C9A">
      <w:pPr>
        <w:jc w:val="both"/>
      </w:pPr>
      <w:r w:rsidRPr="00EE2DF3">
        <w:t>To control credit risk the council requires a very high credit rating from its treasury counterparties.</w:t>
      </w:r>
    </w:p>
    <w:p w:rsidR="00F23C9A" w:rsidRPr="00EE2DF3" w:rsidP="00F23C9A">
      <w:pPr>
        <w:jc w:val="both"/>
      </w:pPr>
    </w:p>
    <w:tbl>
      <w:tblPr>
        <w:tblW w:w="9072" w:type="dxa"/>
        <w:tblInd w:w="-5" w:type="dxa"/>
        <w:tblLook w:val="04A0"/>
      </w:tblPr>
      <w:tblGrid>
        <w:gridCol w:w="7230"/>
        <w:gridCol w:w="1842"/>
      </w:tblGrid>
      <w:tr w:rsidTr="00F23C9A">
        <w:tblPrEx>
          <w:tblW w:w="9072" w:type="dxa"/>
          <w:tblInd w:w="-5" w:type="dxa"/>
          <w:tblLook w:val="04A0"/>
        </w:tblPrEx>
        <w:trPr>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C9A" w:rsidRPr="00EE2DF3" w:rsidP="00F23C9A">
            <w:pPr>
              <w:jc w:val="center"/>
              <w:rPr>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F23C9A" w:rsidRPr="00EE2DF3" w:rsidP="00F23C9A">
            <w:pPr>
              <w:jc w:val="center"/>
              <w:rPr>
                <w:color w:val="000000"/>
              </w:rPr>
            </w:pPr>
            <w:r w:rsidRPr="00EE2DF3">
              <w:rPr>
                <w:color w:val="000000"/>
              </w:rPr>
              <w:t>Benchmark</w:t>
            </w:r>
          </w:p>
        </w:tc>
      </w:tr>
      <w:tr w:rsidTr="00F23C9A">
        <w:tblPrEx>
          <w:tblW w:w="9072" w:type="dxa"/>
          <w:tblInd w:w="-5" w:type="dxa"/>
          <w:tblLook w:val="04A0"/>
        </w:tblPrEx>
        <w:trPr>
          <w:trHeight w:val="30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F23C9A" w:rsidRPr="00EE2DF3" w:rsidP="00F23C9A">
            <w:pPr>
              <w:rPr>
                <w:color w:val="000000"/>
              </w:rPr>
            </w:pPr>
            <w:r w:rsidRPr="00EE2DF3">
              <w:rPr>
                <w:color w:val="000000"/>
              </w:rPr>
              <w:t>Average counterparty credit rating</w:t>
            </w:r>
          </w:p>
        </w:tc>
        <w:tc>
          <w:tcPr>
            <w:tcW w:w="1842" w:type="dxa"/>
            <w:tcBorders>
              <w:top w:val="nil"/>
              <w:left w:val="nil"/>
              <w:bottom w:val="single" w:sz="4" w:space="0" w:color="auto"/>
              <w:right w:val="single" w:sz="4" w:space="0" w:color="auto"/>
            </w:tcBorders>
            <w:shd w:val="clear" w:color="auto" w:fill="auto"/>
            <w:noWrap/>
            <w:vAlign w:val="bottom"/>
          </w:tcPr>
          <w:p w:rsidR="00F23C9A" w:rsidRPr="00354B3D" w:rsidP="00F23C9A">
            <w:pPr>
              <w:jc w:val="right"/>
              <w:rPr>
                <w:color w:val="000000"/>
              </w:rPr>
            </w:pPr>
            <w:r w:rsidRPr="00EE2DF3">
              <w:rPr>
                <w:color w:val="000000"/>
              </w:rPr>
              <w:t>A</w:t>
            </w:r>
          </w:p>
        </w:tc>
      </w:tr>
    </w:tbl>
    <w:p w:rsidR="00F23C9A" w:rsidP="00F23C9A">
      <w:pPr>
        <w:spacing w:after="240"/>
        <w:jc w:val="both"/>
        <w:rPr>
          <w:b/>
          <w:bCs/>
          <w:sz w:val="28"/>
          <w:szCs w:val="28"/>
        </w:rPr>
      </w:pPr>
    </w:p>
    <w:sectPr w:rsidSect="00F23C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DA0B85"/>
    <w:multiLevelType w:val="hybridMultilevel"/>
    <w:tmpl w:val="2718511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07A86965"/>
    <w:multiLevelType w:val="hybridMultilevel"/>
    <w:tmpl w:val="AD80A86E"/>
    <w:lvl w:ilvl="0">
      <w:start w:val="1"/>
      <w:numFmt w:val="lowerLetter"/>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
    <w:nsid w:val="0862548B"/>
    <w:multiLevelType w:val="hybridMultilevel"/>
    <w:tmpl w:val="4CFCEDB4"/>
    <w:lvl w:ilvl="0">
      <w:start w:val="1"/>
      <w:numFmt w:val="bullet"/>
      <w:lvlText w:val=""/>
      <w:lvlJc w:val="left"/>
      <w:pPr>
        <w:ind w:left="2422" w:hanging="360"/>
      </w:pPr>
      <w:rPr>
        <w:rFonts w:ascii="Symbol" w:hAnsi="Symbol" w:hint="default"/>
      </w:rPr>
    </w:lvl>
    <w:lvl w:ilvl="1">
      <w:start w:val="1"/>
      <w:numFmt w:val="bullet"/>
      <w:lvlText w:val="o"/>
      <w:lvlJc w:val="left"/>
      <w:pPr>
        <w:ind w:left="3142" w:hanging="360"/>
      </w:pPr>
      <w:rPr>
        <w:rFonts w:ascii="Courier New" w:hAnsi="Courier New" w:cs="Courier New" w:hint="default"/>
      </w:rPr>
    </w:lvl>
    <w:lvl w:ilvl="2" w:tentative="1">
      <w:start w:val="1"/>
      <w:numFmt w:val="bullet"/>
      <w:lvlText w:val=""/>
      <w:lvlJc w:val="left"/>
      <w:pPr>
        <w:ind w:left="3862" w:hanging="360"/>
      </w:pPr>
      <w:rPr>
        <w:rFonts w:ascii="Wingdings" w:hAnsi="Wingdings" w:hint="default"/>
      </w:rPr>
    </w:lvl>
    <w:lvl w:ilvl="3" w:tentative="1">
      <w:start w:val="1"/>
      <w:numFmt w:val="bullet"/>
      <w:lvlText w:val=""/>
      <w:lvlJc w:val="left"/>
      <w:pPr>
        <w:ind w:left="4582" w:hanging="360"/>
      </w:pPr>
      <w:rPr>
        <w:rFonts w:ascii="Symbol" w:hAnsi="Symbol" w:hint="default"/>
      </w:rPr>
    </w:lvl>
    <w:lvl w:ilvl="4" w:tentative="1">
      <w:start w:val="1"/>
      <w:numFmt w:val="bullet"/>
      <w:lvlText w:val="o"/>
      <w:lvlJc w:val="left"/>
      <w:pPr>
        <w:ind w:left="5302" w:hanging="360"/>
      </w:pPr>
      <w:rPr>
        <w:rFonts w:ascii="Courier New" w:hAnsi="Courier New" w:cs="Courier New" w:hint="default"/>
      </w:rPr>
    </w:lvl>
    <w:lvl w:ilvl="5" w:tentative="1">
      <w:start w:val="1"/>
      <w:numFmt w:val="bullet"/>
      <w:lvlText w:val=""/>
      <w:lvlJc w:val="left"/>
      <w:pPr>
        <w:ind w:left="6022" w:hanging="360"/>
      </w:pPr>
      <w:rPr>
        <w:rFonts w:ascii="Wingdings" w:hAnsi="Wingdings" w:hint="default"/>
      </w:rPr>
    </w:lvl>
    <w:lvl w:ilvl="6" w:tentative="1">
      <w:start w:val="1"/>
      <w:numFmt w:val="bullet"/>
      <w:lvlText w:val=""/>
      <w:lvlJc w:val="left"/>
      <w:pPr>
        <w:ind w:left="6742" w:hanging="360"/>
      </w:pPr>
      <w:rPr>
        <w:rFonts w:ascii="Symbol" w:hAnsi="Symbol" w:hint="default"/>
      </w:rPr>
    </w:lvl>
    <w:lvl w:ilvl="7" w:tentative="1">
      <w:start w:val="1"/>
      <w:numFmt w:val="bullet"/>
      <w:lvlText w:val="o"/>
      <w:lvlJc w:val="left"/>
      <w:pPr>
        <w:ind w:left="7462" w:hanging="360"/>
      </w:pPr>
      <w:rPr>
        <w:rFonts w:ascii="Courier New" w:hAnsi="Courier New" w:cs="Courier New" w:hint="default"/>
      </w:rPr>
    </w:lvl>
    <w:lvl w:ilvl="8" w:tentative="1">
      <w:start w:val="1"/>
      <w:numFmt w:val="bullet"/>
      <w:lvlText w:val=""/>
      <w:lvlJc w:val="left"/>
      <w:pPr>
        <w:ind w:left="8182" w:hanging="360"/>
      </w:pPr>
      <w:rPr>
        <w:rFonts w:ascii="Wingdings" w:hAnsi="Wingdings" w:hint="default"/>
      </w:rPr>
    </w:lvl>
  </w:abstractNum>
  <w:abstractNum w:abstractNumId="3">
    <w:nsid w:val="0A7F5F3E"/>
    <w:multiLevelType w:val="hybridMultilevel"/>
    <w:tmpl w:val="B89E3232"/>
    <w:lvl w:ilvl="0">
      <w:start w:val="1"/>
      <w:numFmt w:val="bullet"/>
      <w:lvlText w:val=""/>
      <w:lvlJc w:val="left"/>
      <w:pPr>
        <w:tabs>
          <w:tab w:val="num" w:pos="720"/>
        </w:tabs>
        <w:ind w:left="720" w:hanging="360"/>
      </w:pPr>
      <w:rPr>
        <w:rFonts w:ascii="Symbol" w:hAnsi="Symbol" w:hint="default"/>
        <w:color w:val="auto"/>
      </w:rPr>
    </w:lvl>
    <w:lvl w:ilvl="1">
      <w:start w:val="0"/>
      <w:numFmt w:val="bullet"/>
      <w:lvlText w:val="•"/>
      <w:lvlJc w:val="left"/>
      <w:pPr>
        <w:ind w:left="1800" w:hanging="720"/>
      </w:pPr>
      <w:rPr>
        <w:rFonts w:ascii="Arial" w:eastAsia="Times New Roman" w:hAnsi="Arial"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E6606B0"/>
    <w:multiLevelType w:val="hybridMultilevel"/>
    <w:tmpl w:val="58E8411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36A7FFA"/>
    <w:multiLevelType w:val="hybridMultilevel"/>
    <w:tmpl w:val="59C8B2DE"/>
    <w:lvl w:ilvl="0">
      <w:start w:val="1"/>
      <w:numFmt w:val="bullet"/>
      <w:lvlText w:val="-"/>
      <w:lvlJc w:val="left"/>
      <w:pPr>
        <w:ind w:left="1440" w:hanging="360"/>
      </w:pPr>
      <w:rPr>
        <w:rFonts w:ascii="Courier New" w:hAnsi="Courier New"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6">
    <w:nsid w:val="168B0E3C"/>
    <w:multiLevelType w:val="hybridMultilevel"/>
    <w:tmpl w:val="89DC3F02"/>
    <w:lvl w:ilvl="0">
      <w:start w:val="1"/>
      <w:numFmt w:val="lowerLetter"/>
      <w:lvlText w:val="%1)"/>
      <w:lvlJc w:val="left"/>
      <w:pPr>
        <w:ind w:left="1800" w:hanging="360"/>
      </w:pPr>
      <w:rPr>
        <w:rFonts w:cs="Times New Roman"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19B1560A"/>
    <w:multiLevelType w:val="hybridMultilevel"/>
    <w:tmpl w:val="24C885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8">
    <w:nsid w:val="1B483D6A"/>
    <w:multiLevelType w:val="hybridMultilevel"/>
    <w:tmpl w:val="B9AED4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31A50B3"/>
    <w:multiLevelType w:val="hybridMultilevel"/>
    <w:tmpl w:val="2570ACBA"/>
    <w:lvl w:ilvl="0">
      <w:start w:val="1"/>
      <w:numFmt w:val="bullet"/>
      <w:lvlText w:val=""/>
      <w:lvlJc w:val="left"/>
      <w:pPr>
        <w:tabs>
          <w:tab w:val="num" w:pos="644"/>
        </w:tabs>
        <w:ind w:left="644"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25E57940"/>
    <w:multiLevelType w:val="hybridMultilevel"/>
    <w:tmpl w:val="D6B476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0EA47A0"/>
    <w:multiLevelType w:val="multilevel"/>
    <w:tmpl w:val="15361C90"/>
    <w:lvl w:ilvl="0">
      <w:start w:val="1"/>
      <w:numFmt w:val="lowerLetter"/>
      <w:lvlText w:val="%1)"/>
      <w:lvlJc w:val="left"/>
      <w:pPr>
        <w:tabs>
          <w:tab w:val="num" w:pos="360"/>
        </w:tabs>
        <w:ind w:left="360" w:hanging="360"/>
      </w:pPr>
      <w:rPr>
        <w:rFonts w:ascii="Arial" w:eastAsia="Times New Roman" w:hAnsi="Arial" w:cs="Arial"/>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nsid w:val="32621D22"/>
    <w:multiLevelType w:val="hybridMultilevel"/>
    <w:tmpl w:val="B940792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39E724C2"/>
    <w:multiLevelType w:val="hybridMultilevel"/>
    <w:tmpl w:val="9FD2D76C"/>
    <w:lvl w:ilvl="0">
      <w:start w:val="1"/>
      <w:numFmt w:val="lowerLetter"/>
      <w:lvlText w:val="%1)"/>
      <w:lvlJc w:val="left"/>
      <w:pPr>
        <w:ind w:left="360" w:hanging="360"/>
      </w:pPr>
      <w:rPr>
        <w:rFonts w:cs="Times New Roman" w:hint="default"/>
      </w:rPr>
    </w:lvl>
    <w:lvl w:ilvl="1">
      <w:start w:val="1"/>
      <w:numFmt w:val="lowerLetter"/>
      <w:lvlText w:val="(%2)"/>
      <w:lvlJc w:val="left"/>
      <w:pPr>
        <w:ind w:left="1185" w:hanging="465"/>
      </w:pPr>
      <w:rPr>
        <w:rFonts w:hint="default"/>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4">
    <w:nsid w:val="3AB73280"/>
    <w:multiLevelType w:val="hybridMultilevel"/>
    <w:tmpl w:val="9ABA5EE4"/>
    <w:lvl w:ilvl="0">
      <w:start w:val="1"/>
      <w:numFmt w:val="bullet"/>
      <w:lvlText w:val="-"/>
      <w:lvlJc w:val="left"/>
      <w:pPr>
        <w:ind w:left="1440" w:hanging="360"/>
      </w:pPr>
      <w:rPr>
        <w:rFonts w:ascii="Courier New" w:hAnsi="Courier New"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15">
    <w:nsid w:val="3AC71D95"/>
    <w:multiLevelType w:val="hybridMultilevel"/>
    <w:tmpl w:val="35F080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EBC6A3C"/>
    <w:multiLevelType w:val="hybridMultilevel"/>
    <w:tmpl w:val="AF7465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0CE5F6B"/>
    <w:multiLevelType w:val="hybridMultilevel"/>
    <w:tmpl w:val="0C3827D6"/>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nsid w:val="47FB296F"/>
    <w:multiLevelType w:val="hybridMultilevel"/>
    <w:tmpl w:val="A6DA90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D5E50A4"/>
    <w:multiLevelType w:val="hybridMultilevel"/>
    <w:tmpl w:val="ECB8CEA0"/>
    <w:lvl w:ilvl="0">
      <w:start w:val="1"/>
      <w:numFmt w:val="bullet"/>
      <w:lvlText w:val=""/>
      <w:lvlJc w:val="left"/>
      <w:pPr>
        <w:ind w:left="948" w:hanging="360"/>
      </w:pPr>
      <w:rPr>
        <w:rFonts w:ascii="Symbol" w:hAnsi="Symbol" w:hint="default"/>
      </w:rPr>
    </w:lvl>
    <w:lvl w:ilvl="1" w:tentative="1">
      <w:start w:val="1"/>
      <w:numFmt w:val="bullet"/>
      <w:lvlText w:val="o"/>
      <w:lvlJc w:val="left"/>
      <w:pPr>
        <w:ind w:left="1668" w:hanging="360"/>
      </w:pPr>
      <w:rPr>
        <w:rFonts w:ascii="Courier New" w:hAnsi="Courier New" w:cs="Courier New" w:hint="default"/>
      </w:rPr>
    </w:lvl>
    <w:lvl w:ilvl="2" w:tentative="1">
      <w:start w:val="1"/>
      <w:numFmt w:val="bullet"/>
      <w:lvlText w:val=""/>
      <w:lvlJc w:val="left"/>
      <w:pPr>
        <w:ind w:left="2388" w:hanging="360"/>
      </w:pPr>
      <w:rPr>
        <w:rFonts w:ascii="Wingdings" w:hAnsi="Wingdings" w:hint="default"/>
      </w:rPr>
    </w:lvl>
    <w:lvl w:ilvl="3" w:tentative="1">
      <w:start w:val="1"/>
      <w:numFmt w:val="bullet"/>
      <w:lvlText w:val=""/>
      <w:lvlJc w:val="left"/>
      <w:pPr>
        <w:ind w:left="3108" w:hanging="360"/>
      </w:pPr>
      <w:rPr>
        <w:rFonts w:ascii="Symbol" w:hAnsi="Symbol" w:hint="default"/>
      </w:rPr>
    </w:lvl>
    <w:lvl w:ilvl="4" w:tentative="1">
      <w:start w:val="1"/>
      <w:numFmt w:val="bullet"/>
      <w:lvlText w:val="o"/>
      <w:lvlJc w:val="left"/>
      <w:pPr>
        <w:ind w:left="3828" w:hanging="360"/>
      </w:pPr>
      <w:rPr>
        <w:rFonts w:ascii="Courier New" w:hAnsi="Courier New" w:cs="Courier New" w:hint="default"/>
      </w:rPr>
    </w:lvl>
    <w:lvl w:ilvl="5" w:tentative="1">
      <w:start w:val="1"/>
      <w:numFmt w:val="bullet"/>
      <w:lvlText w:val=""/>
      <w:lvlJc w:val="left"/>
      <w:pPr>
        <w:ind w:left="4548" w:hanging="360"/>
      </w:pPr>
      <w:rPr>
        <w:rFonts w:ascii="Wingdings" w:hAnsi="Wingdings" w:hint="default"/>
      </w:rPr>
    </w:lvl>
    <w:lvl w:ilvl="6" w:tentative="1">
      <w:start w:val="1"/>
      <w:numFmt w:val="bullet"/>
      <w:lvlText w:val=""/>
      <w:lvlJc w:val="left"/>
      <w:pPr>
        <w:ind w:left="5268" w:hanging="360"/>
      </w:pPr>
      <w:rPr>
        <w:rFonts w:ascii="Symbol" w:hAnsi="Symbol" w:hint="default"/>
      </w:rPr>
    </w:lvl>
    <w:lvl w:ilvl="7" w:tentative="1">
      <w:start w:val="1"/>
      <w:numFmt w:val="bullet"/>
      <w:lvlText w:val="o"/>
      <w:lvlJc w:val="left"/>
      <w:pPr>
        <w:ind w:left="5988" w:hanging="360"/>
      </w:pPr>
      <w:rPr>
        <w:rFonts w:ascii="Courier New" w:hAnsi="Courier New" w:cs="Courier New" w:hint="default"/>
      </w:rPr>
    </w:lvl>
    <w:lvl w:ilvl="8" w:tentative="1">
      <w:start w:val="1"/>
      <w:numFmt w:val="bullet"/>
      <w:lvlText w:val=""/>
      <w:lvlJc w:val="left"/>
      <w:pPr>
        <w:ind w:left="6708" w:hanging="360"/>
      </w:pPr>
      <w:rPr>
        <w:rFonts w:ascii="Wingdings" w:hAnsi="Wingdings" w:hint="default"/>
      </w:rPr>
    </w:lvl>
  </w:abstractNum>
  <w:abstractNum w:abstractNumId="20">
    <w:nsid w:val="53AA6FBD"/>
    <w:multiLevelType w:val="hybridMultilevel"/>
    <w:tmpl w:val="E75A2E94"/>
    <w:lvl w:ilvl="0">
      <w:start w:val="1"/>
      <w:numFmt w:val="bullet"/>
      <w:lvlText w:val=""/>
      <w:lvlJc w:val="left"/>
      <w:pPr>
        <w:ind w:left="644" w:hanging="360"/>
      </w:pPr>
      <w:rPr>
        <w:rFonts w:ascii="Symbol" w:hAnsi="Symbol" w:hint="default"/>
      </w:rPr>
    </w:lvl>
    <w:lvl w:ilvl="1" w:tentative="1">
      <w:start w:val="1"/>
      <w:numFmt w:val="bullet"/>
      <w:lvlText w:val="o"/>
      <w:lvlJc w:val="left"/>
      <w:pPr>
        <w:ind w:left="1364" w:hanging="360"/>
      </w:pPr>
      <w:rPr>
        <w:rFonts w:ascii="Courier New" w:hAnsi="Courier New" w:hint="default"/>
      </w:rPr>
    </w:lvl>
    <w:lvl w:ilvl="2" w:tentative="1">
      <w:start w:val="1"/>
      <w:numFmt w:val="bullet"/>
      <w:lvlText w:val=""/>
      <w:lvlJc w:val="left"/>
      <w:pPr>
        <w:ind w:left="2084" w:hanging="360"/>
      </w:pPr>
      <w:rPr>
        <w:rFonts w:ascii="Wingdings" w:hAnsi="Wingdings" w:hint="default"/>
      </w:rPr>
    </w:lvl>
    <w:lvl w:ilvl="3" w:tentative="1">
      <w:start w:val="1"/>
      <w:numFmt w:val="bullet"/>
      <w:lvlText w:val=""/>
      <w:lvlJc w:val="left"/>
      <w:pPr>
        <w:ind w:left="2804" w:hanging="360"/>
      </w:pPr>
      <w:rPr>
        <w:rFonts w:ascii="Symbol" w:hAnsi="Symbol" w:hint="default"/>
      </w:rPr>
    </w:lvl>
    <w:lvl w:ilvl="4" w:tentative="1">
      <w:start w:val="1"/>
      <w:numFmt w:val="bullet"/>
      <w:lvlText w:val="o"/>
      <w:lvlJc w:val="left"/>
      <w:pPr>
        <w:ind w:left="3524" w:hanging="360"/>
      </w:pPr>
      <w:rPr>
        <w:rFonts w:ascii="Courier New" w:hAnsi="Courier New" w:hint="default"/>
      </w:rPr>
    </w:lvl>
    <w:lvl w:ilvl="5" w:tentative="1">
      <w:start w:val="1"/>
      <w:numFmt w:val="bullet"/>
      <w:lvlText w:val=""/>
      <w:lvlJc w:val="left"/>
      <w:pPr>
        <w:ind w:left="4244" w:hanging="360"/>
      </w:pPr>
      <w:rPr>
        <w:rFonts w:ascii="Wingdings" w:hAnsi="Wingdings" w:hint="default"/>
      </w:rPr>
    </w:lvl>
    <w:lvl w:ilvl="6" w:tentative="1">
      <w:start w:val="1"/>
      <w:numFmt w:val="bullet"/>
      <w:lvlText w:val=""/>
      <w:lvlJc w:val="left"/>
      <w:pPr>
        <w:ind w:left="4964" w:hanging="360"/>
      </w:pPr>
      <w:rPr>
        <w:rFonts w:ascii="Symbol" w:hAnsi="Symbol" w:hint="default"/>
      </w:rPr>
    </w:lvl>
    <w:lvl w:ilvl="7" w:tentative="1">
      <w:start w:val="1"/>
      <w:numFmt w:val="bullet"/>
      <w:lvlText w:val="o"/>
      <w:lvlJc w:val="left"/>
      <w:pPr>
        <w:ind w:left="5684" w:hanging="360"/>
      </w:pPr>
      <w:rPr>
        <w:rFonts w:ascii="Courier New" w:hAnsi="Courier New" w:hint="default"/>
      </w:rPr>
    </w:lvl>
    <w:lvl w:ilvl="8" w:tentative="1">
      <w:start w:val="1"/>
      <w:numFmt w:val="bullet"/>
      <w:lvlText w:val=""/>
      <w:lvlJc w:val="left"/>
      <w:pPr>
        <w:ind w:left="6404" w:hanging="360"/>
      </w:pPr>
      <w:rPr>
        <w:rFonts w:ascii="Wingdings" w:hAnsi="Wingdings" w:hint="default"/>
      </w:rPr>
    </w:lvl>
  </w:abstractNum>
  <w:abstractNum w:abstractNumId="21">
    <w:nsid w:val="53E37A36"/>
    <w:multiLevelType w:val="hybridMultilevel"/>
    <w:tmpl w:val="937A2D04"/>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5277BC9"/>
    <w:multiLevelType w:val="hybridMultilevel"/>
    <w:tmpl w:val="26120C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5461E04"/>
    <w:multiLevelType w:val="hybridMultilevel"/>
    <w:tmpl w:val="729896BE"/>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24">
    <w:nsid w:val="5BCA1522"/>
    <w:multiLevelType w:val="hybridMultilevel"/>
    <w:tmpl w:val="DC262D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54C5249"/>
    <w:multiLevelType w:val="hybridMultilevel"/>
    <w:tmpl w:val="56706D72"/>
    <w:lvl w:ilvl="0">
      <w:start w:val="1"/>
      <w:numFmt w:val="bullet"/>
      <w:lvlText w:val=""/>
      <w:lvlJc w:val="left"/>
      <w:pPr>
        <w:ind w:left="789" w:hanging="360"/>
      </w:pPr>
      <w:rPr>
        <w:rFonts w:ascii="Symbol" w:hAnsi="Symbol" w:hint="default"/>
      </w:rPr>
    </w:lvl>
    <w:lvl w:ilvl="1" w:tentative="1">
      <w:start w:val="1"/>
      <w:numFmt w:val="bullet"/>
      <w:lvlText w:val="o"/>
      <w:lvlJc w:val="left"/>
      <w:pPr>
        <w:ind w:left="1509" w:hanging="360"/>
      </w:pPr>
      <w:rPr>
        <w:rFonts w:ascii="Courier New" w:hAnsi="Courier New" w:cs="Courier New" w:hint="default"/>
      </w:rPr>
    </w:lvl>
    <w:lvl w:ilvl="2" w:tentative="1">
      <w:start w:val="1"/>
      <w:numFmt w:val="bullet"/>
      <w:lvlText w:val=""/>
      <w:lvlJc w:val="left"/>
      <w:pPr>
        <w:ind w:left="2229" w:hanging="360"/>
      </w:pPr>
      <w:rPr>
        <w:rFonts w:ascii="Wingdings" w:hAnsi="Wingdings" w:hint="default"/>
      </w:rPr>
    </w:lvl>
    <w:lvl w:ilvl="3" w:tentative="1">
      <w:start w:val="1"/>
      <w:numFmt w:val="bullet"/>
      <w:lvlText w:val=""/>
      <w:lvlJc w:val="left"/>
      <w:pPr>
        <w:ind w:left="2949" w:hanging="360"/>
      </w:pPr>
      <w:rPr>
        <w:rFonts w:ascii="Symbol" w:hAnsi="Symbol" w:hint="default"/>
      </w:rPr>
    </w:lvl>
    <w:lvl w:ilvl="4" w:tentative="1">
      <w:start w:val="1"/>
      <w:numFmt w:val="bullet"/>
      <w:lvlText w:val="o"/>
      <w:lvlJc w:val="left"/>
      <w:pPr>
        <w:ind w:left="3669" w:hanging="360"/>
      </w:pPr>
      <w:rPr>
        <w:rFonts w:ascii="Courier New" w:hAnsi="Courier New" w:cs="Courier New" w:hint="default"/>
      </w:rPr>
    </w:lvl>
    <w:lvl w:ilvl="5" w:tentative="1">
      <w:start w:val="1"/>
      <w:numFmt w:val="bullet"/>
      <w:lvlText w:val=""/>
      <w:lvlJc w:val="left"/>
      <w:pPr>
        <w:ind w:left="4389" w:hanging="360"/>
      </w:pPr>
      <w:rPr>
        <w:rFonts w:ascii="Wingdings" w:hAnsi="Wingdings" w:hint="default"/>
      </w:rPr>
    </w:lvl>
    <w:lvl w:ilvl="6" w:tentative="1">
      <w:start w:val="1"/>
      <w:numFmt w:val="bullet"/>
      <w:lvlText w:val=""/>
      <w:lvlJc w:val="left"/>
      <w:pPr>
        <w:ind w:left="5109" w:hanging="360"/>
      </w:pPr>
      <w:rPr>
        <w:rFonts w:ascii="Symbol" w:hAnsi="Symbol" w:hint="default"/>
      </w:rPr>
    </w:lvl>
    <w:lvl w:ilvl="7" w:tentative="1">
      <w:start w:val="1"/>
      <w:numFmt w:val="bullet"/>
      <w:lvlText w:val="o"/>
      <w:lvlJc w:val="left"/>
      <w:pPr>
        <w:ind w:left="5829" w:hanging="360"/>
      </w:pPr>
      <w:rPr>
        <w:rFonts w:ascii="Courier New" w:hAnsi="Courier New" w:cs="Courier New" w:hint="default"/>
      </w:rPr>
    </w:lvl>
    <w:lvl w:ilvl="8" w:tentative="1">
      <w:start w:val="1"/>
      <w:numFmt w:val="bullet"/>
      <w:lvlText w:val=""/>
      <w:lvlJc w:val="left"/>
      <w:pPr>
        <w:ind w:left="6549" w:hanging="360"/>
      </w:pPr>
      <w:rPr>
        <w:rFonts w:ascii="Wingdings" w:hAnsi="Wingdings" w:hint="default"/>
      </w:rPr>
    </w:lvl>
  </w:abstractNum>
  <w:abstractNum w:abstractNumId="26">
    <w:nsid w:val="65AD77D4"/>
    <w:multiLevelType w:val="multilevel"/>
    <w:tmpl w:val="A67453AE"/>
    <w:styleLink w:val="List1"/>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7">
    <w:nsid w:val="7BBD556D"/>
    <w:multiLevelType w:val="hybridMultilevel"/>
    <w:tmpl w:val="229CFC28"/>
    <w:lvl w:ilvl="0">
      <w:start w:val="1"/>
      <w:numFmt w:val="lowerRoman"/>
      <w:lvlText w:val="(%1)"/>
      <w:lvlJc w:val="righ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8">
    <w:nsid w:val="7EA30EFE"/>
    <w:multiLevelType w:val="hybridMultilevel"/>
    <w:tmpl w:val="A80C8966"/>
    <w:lvl w:ilvl="0">
      <w:start w:val="1"/>
      <w:numFmt w:val="bullet"/>
      <w:lvlText w:val=""/>
      <w:lvlJc w:val="left"/>
      <w:pPr>
        <w:ind w:left="360" w:hanging="360"/>
      </w:pPr>
      <w:rPr>
        <w:rFonts w:ascii="Symbol" w:hAnsi="Symbol"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num w:numId="1">
    <w:abstractNumId w:val="11"/>
  </w:num>
  <w:num w:numId="2">
    <w:abstractNumId w:val="4"/>
  </w:num>
  <w:num w:numId="3">
    <w:abstractNumId w:val="7"/>
  </w:num>
  <w:num w:numId="4">
    <w:abstractNumId w:val="17"/>
  </w:num>
  <w:num w:numId="5">
    <w:abstractNumId w:val="13"/>
  </w:num>
  <w:num w:numId="6">
    <w:abstractNumId w:val="1"/>
  </w:num>
  <w:num w:numId="7">
    <w:abstractNumId w:val="20"/>
  </w:num>
  <w:num w:numId="8">
    <w:abstractNumId w:val="9"/>
  </w:num>
  <w:num w:numId="9">
    <w:abstractNumId w:val="5"/>
  </w:num>
  <w:num w:numId="10">
    <w:abstractNumId w:val="14"/>
  </w:num>
  <w:num w:numId="11">
    <w:abstractNumId w:val="26"/>
  </w:num>
  <w:num w:numId="12">
    <w:abstractNumId w:val="23"/>
  </w:num>
  <w:num w:numId="13">
    <w:abstractNumId w:val="3"/>
  </w:num>
  <w:num w:numId="14">
    <w:abstractNumId w:val="21"/>
  </w:num>
  <w:num w:numId="15">
    <w:abstractNumId w:val="19"/>
  </w:num>
  <w:num w:numId="16">
    <w:abstractNumId w:val="27"/>
  </w:num>
  <w:num w:numId="17">
    <w:abstractNumId w:val="22"/>
  </w:num>
  <w:num w:numId="18">
    <w:abstractNumId w:val="0"/>
  </w:num>
  <w:num w:numId="19">
    <w:abstractNumId w:val="2"/>
  </w:num>
  <w:num w:numId="20">
    <w:abstractNumId w:val="24"/>
  </w:num>
  <w:num w:numId="21">
    <w:abstractNumId w:val="15"/>
  </w:num>
  <w:num w:numId="22">
    <w:abstractNumId w:val="10"/>
  </w:num>
  <w:num w:numId="23">
    <w:abstractNumId w:val="18"/>
  </w:num>
  <w:num w:numId="24">
    <w:abstractNumId w:val="6"/>
  </w:num>
  <w:num w:numId="25">
    <w:abstractNumId w:val="16"/>
  </w:num>
  <w:num w:numId="26">
    <w:abstractNumId w:val="25"/>
  </w:num>
  <w:num w:numId="27">
    <w:abstractNumId w:val="8"/>
  </w:num>
  <w:num w:numId="28">
    <w:abstractNumId w:val="2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5A2F"/>
    <w:pPr>
      <w:spacing w:after="0" w:line="240" w:lineRule="auto"/>
    </w:pPr>
    <w:rPr>
      <w:rFonts w:ascii="Arial" w:hAnsi="Arial" w:cs="Arial"/>
      <w:sz w:val="24"/>
      <w:szCs w:val="24"/>
      <w:lang w:eastAsia="en-GB"/>
    </w:rPr>
  </w:style>
  <w:style w:type="paragraph" w:styleId="Heading2">
    <w:name w:val="heading 2"/>
    <w:basedOn w:val="Normal"/>
    <w:next w:val="Normal"/>
    <w:link w:val="Heading2Char"/>
    <w:uiPriority w:val="99"/>
    <w:qFormat/>
    <w:rsid w:val="0040630B"/>
    <w:pPr>
      <w:keepNext/>
      <w:jc w:val="center"/>
      <w:outlineLvl w:val="1"/>
    </w:pPr>
    <w:rPr>
      <w:b/>
      <w:bCs/>
      <w:sz w:val="18"/>
      <w:szCs w:val="18"/>
    </w:rPr>
  </w:style>
  <w:style w:type="paragraph" w:styleId="Heading3">
    <w:name w:val="heading 3"/>
    <w:basedOn w:val="Normal"/>
    <w:next w:val="Normal"/>
    <w:link w:val="Heading3Char"/>
    <w:uiPriority w:val="99"/>
    <w:qFormat/>
    <w:rsid w:val="0040630B"/>
    <w:pPr>
      <w:keepNext/>
      <w:spacing w:before="240" w:after="60"/>
      <w:outlineLvl w:val="2"/>
    </w:pPr>
    <w:rPr>
      <w:b/>
      <w:bCs/>
      <w:sz w:val="26"/>
      <w:szCs w:val="26"/>
    </w:rPr>
  </w:style>
  <w:style w:type="paragraph" w:styleId="Heading4">
    <w:name w:val="heading 4"/>
    <w:basedOn w:val="Normal"/>
    <w:next w:val="Normal"/>
    <w:link w:val="Heading4Char"/>
    <w:uiPriority w:val="99"/>
    <w:qFormat/>
    <w:rsid w:val="0040630B"/>
    <w:pPr>
      <w:keepNext/>
      <w:jc w:val="right"/>
      <w:outlineLvl w:val="3"/>
    </w:pPr>
    <w:rPr>
      <w:b/>
      <w:bCs/>
    </w:rPr>
  </w:style>
  <w:style w:type="paragraph" w:styleId="Heading5">
    <w:name w:val="heading 5"/>
    <w:basedOn w:val="Normal"/>
    <w:next w:val="Normal"/>
    <w:link w:val="Heading5Char"/>
    <w:uiPriority w:val="99"/>
    <w:qFormat/>
    <w:rsid w:val="0040630B"/>
    <w:pPr>
      <w:keepNext/>
      <w:outlineLvl w:val="4"/>
    </w:pPr>
    <w:rPr>
      <w:rFonts w:ascii="Univers" w:hAnsi="Univers" w:cs="Univers"/>
      <w:b/>
      <w:bCs/>
      <w:u w:val="single"/>
    </w:rPr>
  </w:style>
  <w:style w:type="paragraph" w:styleId="Heading6">
    <w:name w:val="heading 6"/>
    <w:basedOn w:val="Normal"/>
    <w:next w:val="Normal"/>
    <w:link w:val="Heading6Char"/>
    <w:uiPriority w:val="99"/>
    <w:qFormat/>
    <w:rsid w:val="0040630B"/>
    <w:pPr>
      <w:keepNext/>
      <w:outlineLvl w:val="5"/>
    </w:pPr>
    <w:rPr>
      <w:rFonts w:ascii="Univers" w:hAnsi="Univers" w:cs="Univers"/>
      <w:b/>
      <w:bCs/>
    </w:rPr>
  </w:style>
  <w:style w:type="paragraph" w:styleId="Heading7">
    <w:name w:val="heading 7"/>
    <w:basedOn w:val="Normal"/>
    <w:next w:val="Normal"/>
    <w:link w:val="Heading7Char"/>
    <w:uiPriority w:val="99"/>
    <w:qFormat/>
    <w:rsid w:val="0040630B"/>
    <w:pPr>
      <w:keepNext/>
      <w:outlineLvl w:val="6"/>
    </w:pPr>
    <w:rPr>
      <w:rFonts w:ascii="Univers" w:hAnsi="Univers" w:cs="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0630B"/>
    <w:rPr>
      <w:rFonts w:ascii="Arial" w:hAnsi="Arial" w:cs="Arial"/>
      <w:b/>
      <w:bCs/>
      <w:sz w:val="18"/>
      <w:szCs w:val="18"/>
      <w:lang w:eastAsia="en-GB"/>
    </w:rPr>
  </w:style>
  <w:style w:type="character" w:customStyle="1" w:styleId="Heading3Char">
    <w:name w:val="Heading 3 Char"/>
    <w:basedOn w:val="DefaultParagraphFont"/>
    <w:link w:val="Heading3"/>
    <w:uiPriority w:val="99"/>
    <w:locked/>
    <w:rsid w:val="0040630B"/>
    <w:rPr>
      <w:rFonts w:ascii="Arial" w:hAnsi="Arial" w:cs="Arial"/>
      <w:b/>
      <w:bCs/>
      <w:sz w:val="26"/>
      <w:szCs w:val="26"/>
      <w:lang w:eastAsia="en-GB"/>
    </w:rPr>
  </w:style>
  <w:style w:type="character" w:customStyle="1" w:styleId="Heading4Char">
    <w:name w:val="Heading 4 Char"/>
    <w:basedOn w:val="DefaultParagraphFont"/>
    <w:link w:val="Heading4"/>
    <w:uiPriority w:val="99"/>
    <w:locked/>
    <w:rsid w:val="0040630B"/>
    <w:rPr>
      <w:rFonts w:ascii="Arial" w:hAnsi="Arial" w:cs="Arial"/>
      <w:b/>
      <w:bCs/>
      <w:sz w:val="24"/>
      <w:szCs w:val="24"/>
      <w:lang w:eastAsia="en-GB"/>
    </w:rPr>
  </w:style>
  <w:style w:type="character" w:customStyle="1" w:styleId="Heading5Char">
    <w:name w:val="Heading 5 Char"/>
    <w:basedOn w:val="DefaultParagraphFont"/>
    <w:link w:val="Heading5"/>
    <w:uiPriority w:val="99"/>
    <w:locked/>
    <w:rsid w:val="0040630B"/>
    <w:rPr>
      <w:rFonts w:ascii="Univers" w:hAnsi="Univers" w:cs="Univers"/>
      <w:b/>
      <w:bCs/>
      <w:sz w:val="24"/>
      <w:szCs w:val="24"/>
      <w:u w:val="single"/>
      <w:lang w:eastAsia="en-GB"/>
    </w:rPr>
  </w:style>
  <w:style w:type="character" w:customStyle="1" w:styleId="Heading6Char">
    <w:name w:val="Heading 6 Char"/>
    <w:basedOn w:val="DefaultParagraphFont"/>
    <w:link w:val="Heading6"/>
    <w:uiPriority w:val="99"/>
    <w:locked/>
    <w:rsid w:val="0040630B"/>
    <w:rPr>
      <w:rFonts w:ascii="Univers" w:hAnsi="Univers" w:cs="Univers"/>
      <w:b/>
      <w:bCs/>
      <w:sz w:val="24"/>
      <w:szCs w:val="24"/>
      <w:lang w:eastAsia="en-GB"/>
    </w:rPr>
  </w:style>
  <w:style w:type="character" w:customStyle="1" w:styleId="Heading7Char">
    <w:name w:val="Heading 7 Char"/>
    <w:basedOn w:val="DefaultParagraphFont"/>
    <w:link w:val="Heading7"/>
    <w:uiPriority w:val="99"/>
    <w:locked/>
    <w:rsid w:val="0040630B"/>
    <w:rPr>
      <w:rFonts w:ascii="Univers" w:hAnsi="Univers" w:cs="Univers"/>
      <w:sz w:val="24"/>
      <w:szCs w:val="24"/>
      <w:u w:val="single"/>
      <w:lang w:eastAsia="en-GB"/>
    </w:rPr>
  </w:style>
  <w:style w:type="paragraph" w:styleId="Header">
    <w:name w:val="header"/>
    <w:basedOn w:val="Normal"/>
    <w:link w:val="HeaderChar"/>
    <w:uiPriority w:val="99"/>
    <w:rsid w:val="0040630B"/>
    <w:rPr>
      <w:rFonts w:ascii="Universal" w:hAnsi="Times New Roman" w:cs="Universal"/>
    </w:rPr>
  </w:style>
  <w:style w:type="character" w:customStyle="1" w:styleId="HeaderChar">
    <w:name w:val="Header Char"/>
    <w:basedOn w:val="DefaultParagraphFont"/>
    <w:link w:val="Header"/>
    <w:uiPriority w:val="99"/>
    <w:locked/>
    <w:rsid w:val="0040630B"/>
    <w:rPr>
      <w:rFonts w:ascii="Universal" w:eastAsia="Times New Roman" w:cs="Universal"/>
      <w:sz w:val="24"/>
      <w:szCs w:val="24"/>
      <w:lang w:eastAsia="en-GB"/>
    </w:rPr>
  </w:style>
  <w:style w:type="paragraph" w:styleId="BodyText2">
    <w:name w:val="Body Text 2"/>
    <w:basedOn w:val="Normal"/>
    <w:link w:val="BodyText2Char"/>
    <w:uiPriority w:val="99"/>
    <w:rsid w:val="0040630B"/>
    <w:pPr>
      <w:spacing w:after="240"/>
      <w:ind w:left="720"/>
    </w:pPr>
  </w:style>
  <w:style w:type="character" w:customStyle="1" w:styleId="BodyText2Char">
    <w:name w:val="Body Text 2 Char"/>
    <w:basedOn w:val="DefaultParagraphFont"/>
    <w:link w:val="BodyText2"/>
    <w:uiPriority w:val="99"/>
    <w:semiHidden/>
    <w:locked/>
    <w:rsid w:val="0040630B"/>
    <w:rPr>
      <w:rFonts w:ascii="Arial" w:hAnsi="Arial" w:cs="Arial"/>
      <w:sz w:val="24"/>
      <w:szCs w:val="24"/>
      <w:lang w:eastAsia="en-GB"/>
    </w:rPr>
  </w:style>
  <w:style w:type="paragraph" w:styleId="BodyText">
    <w:name w:val="Body Text"/>
    <w:basedOn w:val="Normal"/>
    <w:link w:val="BodyTextChar"/>
    <w:uiPriority w:val="99"/>
    <w:rsid w:val="0040630B"/>
  </w:style>
  <w:style w:type="character" w:customStyle="1" w:styleId="BodyTextChar">
    <w:name w:val="Body Text Char"/>
    <w:basedOn w:val="DefaultParagraphFont"/>
    <w:link w:val="BodyText"/>
    <w:uiPriority w:val="99"/>
    <w:locked/>
    <w:rsid w:val="0040630B"/>
    <w:rPr>
      <w:rFonts w:ascii="Arial" w:hAnsi="Arial" w:cs="Arial"/>
      <w:sz w:val="24"/>
      <w:szCs w:val="24"/>
      <w:lang w:eastAsia="en-GB"/>
    </w:rPr>
  </w:style>
  <w:style w:type="paragraph" w:styleId="Footer">
    <w:name w:val="footer"/>
    <w:basedOn w:val="Normal"/>
    <w:link w:val="FooterChar"/>
    <w:uiPriority w:val="99"/>
    <w:rsid w:val="0040630B"/>
    <w:pPr>
      <w:tabs>
        <w:tab w:val="center" w:pos="4153"/>
        <w:tab w:val="right" w:pos="8306"/>
      </w:tabs>
    </w:pPr>
  </w:style>
  <w:style w:type="character" w:customStyle="1" w:styleId="FooterChar">
    <w:name w:val="Footer Char"/>
    <w:basedOn w:val="DefaultParagraphFont"/>
    <w:link w:val="Footer"/>
    <w:uiPriority w:val="99"/>
    <w:locked/>
    <w:rsid w:val="0040630B"/>
    <w:rPr>
      <w:rFonts w:ascii="Arial" w:hAnsi="Arial" w:cs="Arial"/>
      <w:sz w:val="24"/>
      <w:szCs w:val="24"/>
      <w:lang w:eastAsia="en-GB"/>
    </w:rPr>
  </w:style>
  <w:style w:type="character" w:styleId="PageNumber">
    <w:name w:val="page number"/>
    <w:basedOn w:val="DefaultParagraphFont"/>
    <w:uiPriority w:val="99"/>
    <w:rsid w:val="0040630B"/>
    <w:rPr>
      <w:rFonts w:cs="Times New Roman"/>
    </w:rPr>
  </w:style>
  <w:style w:type="paragraph" w:styleId="CommentText">
    <w:name w:val="annotation text"/>
    <w:basedOn w:val="Normal"/>
    <w:link w:val="CommentTextChar"/>
    <w:uiPriority w:val="99"/>
    <w:semiHidden/>
    <w:rsid w:val="0040630B"/>
    <w:rPr>
      <w:sz w:val="20"/>
      <w:szCs w:val="20"/>
    </w:rPr>
  </w:style>
  <w:style w:type="character" w:customStyle="1" w:styleId="CommentTextChar">
    <w:name w:val="Comment Text Char"/>
    <w:basedOn w:val="DefaultParagraphFont"/>
    <w:link w:val="CommentText"/>
    <w:uiPriority w:val="99"/>
    <w:semiHidden/>
    <w:locked/>
    <w:rsid w:val="0040630B"/>
    <w:rPr>
      <w:rFonts w:ascii="Arial" w:hAnsi="Arial" w:cs="Arial"/>
      <w:sz w:val="20"/>
      <w:szCs w:val="20"/>
      <w:lang w:eastAsia="en-GB"/>
    </w:rPr>
  </w:style>
  <w:style w:type="paragraph" w:styleId="CommentSubject">
    <w:name w:val="annotation subject"/>
    <w:basedOn w:val="CommentText"/>
    <w:next w:val="CommentText"/>
    <w:link w:val="CommentSubjectChar"/>
    <w:uiPriority w:val="99"/>
    <w:semiHidden/>
    <w:rsid w:val="0040630B"/>
    <w:rPr>
      <w:b/>
      <w:bCs/>
    </w:rPr>
  </w:style>
  <w:style w:type="character" w:customStyle="1" w:styleId="CommentSubjectChar">
    <w:name w:val="Comment Subject Char"/>
    <w:basedOn w:val="CommentTextChar"/>
    <w:link w:val="CommentSubject"/>
    <w:uiPriority w:val="99"/>
    <w:semiHidden/>
    <w:locked/>
    <w:rsid w:val="0040630B"/>
    <w:rPr>
      <w:rFonts w:ascii="Arial" w:hAnsi="Arial" w:cs="Arial"/>
      <w:b/>
      <w:bCs/>
      <w:sz w:val="20"/>
      <w:szCs w:val="20"/>
      <w:lang w:eastAsia="en-GB"/>
    </w:rPr>
  </w:style>
  <w:style w:type="paragraph" w:styleId="BalloonText">
    <w:name w:val="Balloon Text"/>
    <w:basedOn w:val="Normal"/>
    <w:link w:val="BalloonTextChar"/>
    <w:uiPriority w:val="99"/>
    <w:semiHidden/>
    <w:rsid w:val="004063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630B"/>
    <w:rPr>
      <w:rFonts w:ascii="Tahoma" w:hAnsi="Tahoma" w:cs="Tahoma"/>
      <w:sz w:val="16"/>
      <w:szCs w:val="16"/>
      <w:lang w:eastAsia="en-GB"/>
    </w:rPr>
  </w:style>
  <w:style w:type="paragraph" w:styleId="HTMLPreformatted">
    <w:name w:val="HTML Preformatted"/>
    <w:basedOn w:val="Normal"/>
    <w:link w:val="HTMLPreformattedChar"/>
    <w:uiPriority w:val="99"/>
    <w:rsid w:val="00406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0630B"/>
    <w:rPr>
      <w:rFonts w:ascii="Courier New" w:hAnsi="Courier New" w:cs="Courier New"/>
      <w:sz w:val="20"/>
      <w:szCs w:val="20"/>
      <w:lang w:eastAsia="en-GB"/>
    </w:rPr>
  </w:style>
  <w:style w:type="paragraph" w:styleId="Caption">
    <w:name w:val="caption"/>
    <w:basedOn w:val="Normal"/>
    <w:next w:val="Normal"/>
    <w:uiPriority w:val="35"/>
    <w:qFormat/>
    <w:rsid w:val="0040630B"/>
    <w:pPr>
      <w:spacing w:after="240"/>
      <w:ind w:left="720"/>
    </w:pPr>
    <w:rPr>
      <w:b/>
      <w:bCs/>
    </w:rPr>
  </w:style>
  <w:style w:type="paragraph" w:styleId="PlainText">
    <w:name w:val="Plain Text"/>
    <w:basedOn w:val="Normal"/>
    <w:link w:val="PlainTextChar"/>
    <w:uiPriority w:val="99"/>
    <w:rsid w:val="0040630B"/>
    <w:rPr>
      <w:rFonts w:ascii="Consolas" w:hAnsi="Consolas" w:cs="Consolas"/>
      <w:sz w:val="21"/>
      <w:szCs w:val="21"/>
    </w:rPr>
  </w:style>
  <w:style w:type="character" w:customStyle="1" w:styleId="PlainTextChar">
    <w:name w:val="Plain Text Char"/>
    <w:basedOn w:val="DefaultParagraphFont"/>
    <w:link w:val="PlainText"/>
    <w:uiPriority w:val="99"/>
    <w:locked/>
    <w:rsid w:val="0040630B"/>
    <w:rPr>
      <w:rFonts w:ascii="Consolas" w:hAnsi="Consolas" w:cs="Consolas"/>
      <w:sz w:val="21"/>
      <w:szCs w:val="21"/>
      <w:lang w:eastAsia="en-GB"/>
    </w:rPr>
  </w:style>
  <w:style w:type="paragraph" w:styleId="ListParagraph">
    <w:name w:val="List Paragraph"/>
    <w:basedOn w:val="Normal"/>
    <w:uiPriority w:val="34"/>
    <w:qFormat/>
    <w:rsid w:val="0040630B"/>
    <w:pPr>
      <w:ind w:left="720"/>
      <w:contextualSpacing/>
    </w:pPr>
  </w:style>
  <w:style w:type="table" w:styleId="TableGrid">
    <w:name w:val="Table Grid"/>
    <w:basedOn w:val="TableNormal"/>
    <w:uiPriority w:val="59"/>
    <w:rsid w:val="0040630B"/>
    <w:pPr>
      <w:spacing w:after="0" w:line="240" w:lineRule="auto"/>
    </w:pPr>
    <w:rPr>
      <w:rFonts w:ascii="Arial"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2DAE"/>
    <w:rPr>
      <w:rFonts w:cs="Times New Roman"/>
      <w:sz w:val="16"/>
      <w:szCs w:val="16"/>
    </w:rPr>
  </w:style>
  <w:style w:type="paragraph" w:styleId="BodyTextIndent">
    <w:name w:val="Body Text Indent"/>
    <w:basedOn w:val="Normal"/>
    <w:link w:val="BodyTextIndentChar"/>
    <w:uiPriority w:val="99"/>
    <w:unhideWhenUsed/>
    <w:rsid w:val="004F3510"/>
    <w:pPr>
      <w:spacing w:after="120"/>
      <w:ind w:left="283"/>
    </w:pPr>
  </w:style>
  <w:style w:type="character" w:customStyle="1" w:styleId="BodyTextIndentChar">
    <w:name w:val="Body Text Indent Char"/>
    <w:basedOn w:val="DefaultParagraphFont"/>
    <w:link w:val="BodyTextIndent"/>
    <w:uiPriority w:val="99"/>
    <w:locked/>
    <w:rsid w:val="004F3510"/>
    <w:rPr>
      <w:rFonts w:ascii="Arial" w:hAnsi="Arial" w:cs="Arial"/>
      <w:sz w:val="24"/>
      <w:szCs w:val="24"/>
      <w:lang w:eastAsia="en-GB"/>
    </w:rPr>
  </w:style>
  <w:style w:type="paragraph" w:styleId="Revision">
    <w:name w:val="Revision"/>
    <w:hidden/>
    <w:uiPriority w:val="99"/>
    <w:semiHidden/>
    <w:rsid w:val="00FF116C"/>
    <w:pPr>
      <w:spacing w:after="0" w:line="240" w:lineRule="auto"/>
    </w:pPr>
    <w:rPr>
      <w:rFonts w:ascii="Arial" w:hAnsi="Arial" w:cs="Arial"/>
      <w:sz w:val="24"/>
      <w:szCs w:val="24"/>
      <w:lang w:eastAsia="en-GB"/>
    </w:rPr>
  </w:style>
  <w:style w:type="numbering" w:customStyle="1" w:styleId="List1">
    <w:name w:val="List1"/>
    <w:pPr>
      <w:numPr>
        <w:numId w:val="11"/>
      </w:numPr>
    </w:pPr>
  </w:style>
  <w:style w:type="paragraph" w:customStyle="1" w:styleId="Default">
    <w:name w:val="Default"/>
    <w:rsid w:val="00D65E6B"/>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BE2FED"/>
    <w:pPr>
      <w:spacing w:after="0" w:line="240" w:lineRule="auto"/>
    </w:pPr>
    <w:rPr>
      <w:rFonts w:ascii="Arial"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hart" Target="charts/chart1.xml" /><Relationship Id="rId9" Type="http://schemas.openxmlformats.org/officeDocument/2006/relationships/theme" Target="theme/theme1.xml" /></Relationships>
</file>

<file path=word/charts/_rels/chart1.xml.rels>&#65279;<?xml version="1.0" encoding="utf-8" standalone="yes"?><Relationships xmlns="http://schemas.openxmlformats.org/package/2006/relationships"><Relationship Id="rId1" Type="http://schemas.openxmlformats.org/officeDocument/2006/relationships/oleObject" Target="file:///\\corpdata02.ad.lancscc.net\res\County%20Treasurer\Treasury\TM%20Stategy%20reports\2021-22\Estimated%20capital%20financing%20requirements%20and%20mrp%2020-210%20onwards%20as%20at%20December%202020.xlsx" TargetMode="External" /><Relationship Id="rId2" Type="http://schemas.microsoft.com/office/2011/relationships/chartColorStyle" Target="chart/colors1.xml" /><Relationship Id="rId3" Type="http://schemas.microsoft.com/office/2011/relationships/chartStyle" Target="chart/style1.xml" /></Relationships>
</file>

<file path=word/charts/chart/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1.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Estimated borrowing requirement to actual debt at </a:t>
            </a:r>
          </a:p>
          <a:p>
            <a:pPr>
              <a:defRPr/>
            </a:pPr>
            <a:r>
              <a:rPr lang="en-GB"/>
              <a:t>30 November 2020</a:t>
            </a:r>
          </a:p>
        </c:rich>
      </c:tx>
      <c:layout>
        <c:manualLayout>
          <c:xMode val="edge"/>
          <c:yMode val="edge"/>
          <c:x val="0.18085222568655429"/>
          <c:y val="0.017886151327858212"/>
        </c:manualLayout>
      </c:layout>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plotArea>
      <c:layout>
        <c:manualLayout>
          <c:layoutTarget val="inner"/>
          <c:xMode val="edge"/>
          <c:yMode val="edge"/>
          <c:x val="0.15082404216943765"/>
          <c:y val="0.12744374166343961"/>
          <c:w val="0.80626462457583836"/>
          <c:h val="0.72037146995969781"/>
        </c:manualLayout>
      </c:layout>
      <c:lineChart>
        <c:grouping val="standard"/>
        <c:varyColors val="0"/>
        <c:ser>
          <c:idx val="0"/>
          <c:order val="0"/>
          <c:tx>
            <c:v>Total Debt Requirement</c:v>
          </c:tx>
          <c:spPr>
            <a:ln w="28575" cap="rnd">
              <a:solidFill>
                <a:schemeClr val="accent1"/>
              </a:solidFill>
              <a:round/>
            </a:ln>
            <a:effectLst/>
          </c:spPr>
          <c:marker>
            <c:symbol val="none"/>
          </c:marker>
          <c:cat>
            <c:numRef>
              <c:f>'total debt req'!$P$6:$P$55</c:f>
              <c:numCache>
                <c:formatCode>General</c:formatCode>
                <c:ptCount val="50"/>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pt idx="30">
                  <c:v>2051</c:v>
                </c:pt>
                <c:pt idx="31">
                  <c:v>2052</c:v>
                </c:pt>
                <c:pt idx="32">
                  <c:v>2053</c:v>
                </c:pt>
                <c:pt idx="33">
                  <c:v>2054</c:v>
                </c:pt>
                <c:pt idx="34">
                  <c:v>2055</c:v>
                </c:pt>
                <c:pt idx="35">
                  <c:v>2056</c:v>
                </c:pt>
                <c:pt idx="36">
                  <c:v>2057</c:v>
                </c:pt>
                <c:pt idx="37">
                  <c:v>2058</c:v>
                </c:pt>
                <c:pt idx="38">
                  <c:v>2059</c:v>
                </c:pt>
                <c:pt idx="39">
                  <c:v>2060</c:v>
                </c:pt>
                <c:pt idx="40">
                  <c:v>2061</c:v>
                </c:pt>
                <c:pt idx="41">
                  <c:v>2062</c:v>
                </c:pt>
                <c:pt idx="42">
                  <c:v>2063</c:v>
                </c:pt>
                <c:pt idx="43">
                  <c:v>2064</c:v>
                </c:pt>
                <c:pt idx="44">
                  <c:v>2065</c:v>
                </c:pt>
                <c:pt idx="45">
                  <c:v>2066</c:v>
                </c:pt>
                <c:pt idx="46">
                  <c:v>2067</c:v>
                </c:pt>
                <c:pt idx="47">
                  <c:v>2068</c:v>
                </c:pt>
                <c:pt idx="48">
                  <c:v>2069</c:v>
                </c:pt>
                <c:pt idx="49">
                  <c:v>2070</c:v>
                </c:pt>
              </c:numCache>
            </c:numRef>
          </c:cat>
          <c:val>
            <c:numRef>
              <c:f>'total debt req'!$Q$6:$Q$55</c:f>
              <c:numCache>
                <c:formatCode>#,##0</c:formatCode>
                <c:ptCount val="50"/>
                <c:pt idx="0">
                  <c:v>1061.771</c:v>
                </c:pt>
                <c:pt idx="1">
                  <c:v>1087.694</c:v>
                </c:pt>
                <c:pt idx="2">
                  <c:v>1112.227</c:v>
                </c:pt>
                <c:pt idx="3">
                  <c:v>1135.401</c:v>
                </c:pt>
                <c:pt idx="4">
                  <c:v>1157.177</c:v>
                </c:pt>
                <c:pt idx="5">
                  <c:v>1127.681</c:v>
                </c:pt>
                <c:pt idx="6">
                  <c:v>1097.604</c:v>
                </c:pt>
                <c:pt idx="7">
                  <c:v>1067.378</c:v>
                </c:pt>
                <c:pt idx="8">
                  <c:v>1033.129</c:v>
                </c:pt>
                <c:pt idx="9">
                  <c:v>999.564</c:v>
                </c:pt>
                <c:pt idx="10">
                  <c:v>967.165</c:v>
                </c:pt>
                <c:pt idx="11">
                  <c:v>930.195</c:v>
                </c:pt>
                <c:pt idx="12">
                  <c:v>884.888</c:v>
                </c:pt>
                <c:pt idx="13">
                  <c:v>838.547</c:v>
                </c:pt>
                <c:pt idx="14">
                  <c:v>791.283</c:v>
                </c:pt>
                <c:pt idx="15">
                  <c:v>743.671</c:v>
                </c:pt>
                <c:pt idx="16">
                  <c:v>696.173</c:v>
                </c:pt>
                <c:pt idx="17">
                  <c:v>652.371</c:v>
                </c:pt>
                <c:pt idx="18">
                  <c:v>607.337</c:v>
                </c:pt>
                <c:pt idx="19">
                  <c:v>576.799</c:v>
                </c:pt>
                <c:pt idx="20">
                  <c:v>547.942</c:v>
                </c:pt>
                <c:pt idx="21">
                  <c:v>518.855</c:v>
                </c:pt>
                <c:pt idx="22">
                  <c:v>491.848</c:v>
                </c:pt>
                <c:pt idx="23">
                  <c:v>464.425</c:v>
                </c:pt>
                <c:pt idx="24">
                  <c:v>436.317</c:v>
                </c:pt>
                <c:pt idx="25">
                  <c:v>407.647</c:v>
                </c:pt>
                <c:pt idx="26">
                  <c:v>378.22</c:v>
                </c:pt>
                <c:pt idx="27">
                  <c:v>348.015</c:v>
                </c:pt>
                <c:pt idx="28">
                  <c:v>317.007</c:v>
                </c:pt>
                <c:pt idx="29">
                  <c:v>285.177</c:v>
                </c:pt>
                <c:pt idx="30">
                  <c:v>252.494</c:v>
                </c:pt>
                <c:pt idx="31">
                  <c:v>218.935</c:v>
                </c:pt>
                <c:pt idx="32">
                  <c:v>187.793</c:v>
                </c:pt>
                <c:pt idx="33">
                  <c:v>152.467</c:v>
                </c:pt>
                <c:pt idx="34">
                  <c:v>116.184</c:v>
                </c:pt>
                <c:pt idx="35">
                  <c:v>78.914</c:v>
                </c:pt>
                <c:pt idx="36">
                  <c:v>42.505</c:v>
                </c:pt>
                <c:pt idx="37">
                  <c:v>31.811</c:v>
                </c:pt>
                <c:pt idx="38">
                  <c:v>22.915</c:v>
                </c:pt>
                <c:pt idx="39">
                  <c:v>18.928</c:v>
                </c:pt>
                <c:pt idx="40">
                  <c:v>17.158</c:v>
                </c:pt>
                <c:pt idx="41">
                  <c:v>15.35</c:v>
                </c:pt>
                <c:pt idx="42">
                  <c:v>13.502</c:v>
                </c:pt>
                <c:pt idx="43">
                  <c:v>11.611</c:v>
                </c:pt>
                <c:pt idx="44">
                  <c:v>9.677</c:v>
                </c:pt>
                <c:pt idx="45">
                  <c:v>7.698</c:v>
                </c:pt>
                <c:pt idx="46">
                  <c:v>5.673</c:v>
                </c:pt>
                <c:pt idx="47">
                  <c:v>3.649</c:v>
                </c:pt>
                <c:pt idx="48">
                  <c:v>2.609</c:v>
                </c:pt>
                <c:pt idx="49">
                  <c:v>2.609</c:v>
                </c:pt>
              </c:numCache>
            </c:numRef>
          </c:val>
          <c:extLst>
            <c:ext xmlns:c="http://schemas.openxmlformats.org/drawingml/2006/chart" xmlns:c16="http://schemas.microsoft.com/office/drawing/2014/chart" uri="{C3380CC4-5D6E-409C-BE32-E72D297353CC}">
              <c16:uniqueId val="{00000000-B9B2-4B1E-8345-2E478C408D54}"/>
            </c:ext>
          </c:extLst>
        </c:ser>
        <c:ser>
          <c:idx val="1"/>
          <c:order val="1"/>
          <c:tx>
            <c:v>Actual Debt 30-11-20</c:v>
          </c:tx>
          <c:spPr>
            <a:ln w="28575" cap="rnd">
              <a:solidFill>
                <a:schemeClr val="accent2"/>
              </a:solidFill>
              <a:round/>
            </a:ln>
            <a:effectLst/>
          </c:spPr>
          <c:marker>
            <c:symbol val="none"/>
          </c:marker>
          <c:cat>
            <c:numRef>
              <c:f>'total debt req'!$P$6:$P$55</c:f>
              <c:numCache>
                <c:formatCode>General</c:formatCode>
                <c:ptCount val="50"/>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pt idx="30">
                  <c:v>2051</c:v>
                </c:pt>
                <c:pt idx="31">
                  <c:v>2052</c:v>
                </c:pt>
                <c:pt idx="32">
                  <c:v>2053</c:v>
                </c:pt>
                <c:pt idx="33">
                  <c:v>2054</c:v>
                </c:pt>
                <c:pt idx="34">
                  <c:v>2055</c:v>
                </c:pt>
                <c:pt idx="35">
                  <c:v>2056</c:v>
                </c:pt>
                <c:pt idx="36">
                  <c:v>2057</c:v>
                </c:pt>
                <c:pt idx="37">
                  <c:v>2058</c:v>
                </c:pt>
                <c:pt idx="38">
                  <c:v>2059</c:v>
                </c:pt>
                <c:pt idx="39">
                  <c:v>2060</c:v>
                </c:pt>
                <c:pt idx="40">
                  <c:v>2061</c:v>
                </c:pt>
                <c:pt idx="41">
                  <c:v>2062</c:v>
                </c:pt>
                <c:pt idx="42">
                  <c:v>2063</c:v>
                </c:pt>
                <c:pt idx="43">
                  <c:v>2064</c:v>
                </c:pt>
                <c:pt idx="44">
                  <c:v>2065</c:v>
                </c:pt>
                <c:pt idx="45">
                  <c:v>2066</c:v>
                </c:pt>
                <c:pt idx="46">
                  <c:v>2067</c:v>
                </c:pt>
                <c:pt idx="47">
                  <c:v>2068</c:v>
                </c:pt>
                <c:pt idx="48">
                  <c:v>2069</c:v>
                </c:pt>
                <c:pt idx="49">
                  <c:v>2070</c:v>
                </c:pt>
              </c:numCache>
            </c:numRef>
          </c:cat>
          <c:val>
            <c:numRef>
              <c:f>'total debt req'!$R$6:$R$55</c:f>
              <c:numCache>
                <c:formatCode>#,##0</c:formatCode>
                <c:ptCount val="50"/>
                <c:pt idx="0">
                  <c:v>1312.6</c:v>
                </c:pt>
                <c:pt idx="1">
                  <c:v>899.6</c:v>
                </c:pt>
                <c:pt idx="2">
                  <c:v>884.6</c:v>
                </c:pt>
                <c:pt idx="3">
                  <c:v>874.6</c:v>
                </c:pt>
                <c:pt idx="4">
                  <c:v>514.6</c:v>
                </c:pt>
                <c:pt idx="5">
                  <c:v>504.6</c:v>
                </c:pt>
                <c:pt idx="6">
                  <c:v>494.6</c:v>
                </c:pt>
                <c:pt idx="7">
                  <c:v>486.2</c:v>
                </c:pt>
                <c:pt idx="8">
                  <c:v>476.2</c:v>
                </c:pt>
                <c:pt idx="9">
                  <c:v>465</c:v>
                </c:pt>
                <c:pt idx="10">
                  <c:v>465</c:v>
                </c:pt>
                <c:pt idx="11">
                  <c:v>450</c:v>
                </c:pt>
                <c:pt idx="12">
                  <c:v>430</c:v>
                </c:pt>
                <c:pt idx="13">
                  <c:v>410</c:v>
                </c:pt>
                <c:pt idx="14">
                  <c:v>410</c:v>
                </c:pt>
                <c:pt idx="15">
                  <c:v>410</c:v>
                </c:pt>
                <c:pt idx="16">
                  <c:v>410</c:v>
                </c:pt>
                <c:pt idx="17">
                  <c:v>410</c:v>
                </c:pt>
                <c:pt idx="18">
                  <c:v>410</c:v>
                </c:pt>
                <c:pt idx="19">
                  <c:v>410</c:v>
                </c:pt>
                <c:pt idx="20">
                  <c:v>410</c:v>
                </c:pt>
                <c:pt idx="21">
                  <c:v>380</c:v>
                </c:pt>
                <c:pt idx="22">
                  <c:v>380</c:v>
                </c:pt>
                <c:pt idx="23">
                  <c:v>380</c:v>
                </c:pt>
                <c:pt idx="24">
                  <c:v>380</c:v>
                </c:pt>
                <c:pt idx="25">
                  <c:v>380</c:v>
                </c:pt>
                <c:pt idx="26">
                  <c:v>380</c:v>
                </c:pt>
                <c:pt idx="27">
                  <c:v>380</c:v>
                </c:pt>
                <c:pt idx="28">
                  <c:v>380</c:v>
                </c:pt>
                <c:pt idx="29">
                  <c:v>380</c:v>
                </c:pt>
                <c:pt idx="30">
                  <c:v>380</c:v>
                </c:pt>
                <c:pt idx="31">
                  <c:v>380</c:v>
                </c:pt>
                <c:pt idx="32">
                  <c:v>380</c:v>
                </c:pt>
                <c:pt idx="33">
                  <c:v>380</c:v>
                </c:pt>
                <c:pt idx="34">
                  <c:v>380</c:v>
                </c:pt>
                <c:pt idx="35">
                  <c:v>380</c:v>
                </c:pt>
                <c:pt idx="36">
                  <c:v>380</c:v>
                </c:pt>
                <c:pt idx="37">
                  <c:v>350</c:v>
                </c:pt>
                <c:pt idx="38">
                  <c:v>350</c:v>
                </c:pt>
                <c:pt idx="39">
                  <c:v>350</c:v>
                </c:pt>
                <c:pt idx="40">
                  <c:v>100</c:v>
                </c:pt>
                <c:pt idx="41">
                  <c:v>100</c:v>
                </c:pt>
                <c:pt idx="42">
                  <c:v>100</c:v>
                </c:pt>
                <c:pt idx="43">
                  <c:v>100</c:v>
                </c:pt>
                <c:pt idx="44">
                  <c:v>90</c:v>
                </c:pt>
                <c:pt idx="45">
                  <c:v>80</c:v>
                </c:pt>
                <c:pt idx="46">
                  <c:v>75</c:v>
                </c:pt>
                <c:pt idx="47">
                  <c:v>55</c:v>
                </c:pt>
                <c:pt idx="48">
                  <c:v>35</c:v>
                </c:pt>
                <c:pt idx="49">
                  <c:v>0</c:v>
                </c:pt>
              </c:numCache>
            </c:numRef>
          </c:val>
          <c:extLst>
            <c:ext xmlns:c="http://schemas.openxmlformats.org/drawingml/2006/chart" xmlns:c16="http://schemas.microsoft.com/office/drawing/2014/chart" uri="{C3380CC4-5D6E-409C-BE32-E72D297353CC}">
              <c16:uniqueId val="{00000001-B9B2-4B1E-8345-2E478C408D54}"/>
            </c:ext>
          </c:extLst>
        </c:ser>
        <c:dLbls>
          <c:showLegendKey val="0"/>
          <c:showVal val="0"/>
          <c:showCatName val="0"/>
          <c:showSerName val="0"/>
          <c:showPercent val="0"/>
          <c:showBubbleSize val="0"/>
        </c:dLbls>
        <c:smooth val="0"/>
        <c:axId val="493568904"/>
        <c:axId val="493578704"/>
      </c:lineChart>
      <c:dateAx>
        <c:axId val="493568904"/>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1"/>
                  <a:t>Year Ended 31 March</a:t>
                </a:r>
              </a:p>
            </c:rich>
          </c:tx>
          <c:layout>
            <c:manualLayout>
              <c:xMode val="edge"/>
              <c:yMode val="edge"/>
              <c:x val="0.41047673586256261"/>
              <c:y val="0.96587514795944629"/>
            </c:manualLayout>
          </c:layout>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out"/>
        <c:minorTickMark val="none"/>
        <c:tickLblPos val="nextTo"/>
        <c:spPr>
          <a:noFill/>
          <a:ln w="9525">
            <a:solidFill>
              <a:schemeClr val="tx1">
                <a:lumMod val="15000"/>
                <a:lumOff val="85000"/>
              </a:schemeClr>
            </a:solidFill>
            <a:round/>
          </a:ln>
          <a:effectLst/>
        </c:spPr>
        <c:txPr>
          <a:bodyPr rot="5400000" spcFirstLastPara="1" vertOverflow="ellipsis" wrap="square" anchor="b"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493578704"/>
        <c:crosses val="autoZero"/>
        <c:lblOffset val="100"/>
        <c:baseTimeUnit val="days"/>
        <c:majorUnit val="2"/>
        <c:majorTimeUnit val="days"/>
        <c:minorUnit val="1"/>
        <c:minorTimeUnit val="days"/>
      </c:dateAx>
      <c:valAx>
        <c:axId val="493578704"/>
        <c:scaling>
          <c:orientation val="minMax"/>
        </c:scaling>
        <c:axPos val="l"/>
        <c:majorGridlines>
          <c:spPr>
            <a:ln w="9525">
              <a:solidFill>
                <a:schemeClr val="tx1">
                  <a:lumMod val="15000"/>
                  <a:lumOff val="85000"/>
                </a:schemeClr>
              </a:solidFill>
              <a:round/>
            </a:ln>
            <a:effectLst/>
          </c:spPr>
        </c:majorGridlines>
        <c:title>
          <c:tx>
            <c:rich>
              <a:bodyPr rot="0" spcFirstLastPara="1" vertOverflow="ellipsis" wrap="square" anchor="t" anchorCtr="0"/>
              <a:lstStyle/>
              <a:p>
                <a:pPr>
                  <a:defRPr sz="1000" b="0" i="0" u="none" strike="noStrike" kern="1200" baseline="0">
                    <a:solidFill>
                      <a:schemeClr val="tx1">
                        <a:lumMod val="65000"/>
                        <a:lumOff val="35000"/>
                      </a:schemeClr>
                    </a:solidFill>
                    <a:latin typeface="+mn-lt"/>
                    <a:ea typeface="+mn-ea"/>
                    <a:cs typeface="+mn-cs"/>
                  </a:defRPr>
                </a:pPr>
                <a:r>
                  <a:rPr lang="en-GB" b="1"/>
                  <a:t>£m</a:t>
                </a:r>
              </a:p>
              <a:p>
                <a:pPr>
                  <a:defRPr/>
                </a:pPr>
                <a:endParaRPr lang="en-GB"/>
              </a:p>
            </c:rich>
          </c:tx>
          <c:layout>
            <c:manualLayout>
              <c:xMode val="edge"/>
              <c:yMode val="edge"/>
              <c:x val="0.029696437695704011"/>
              <c:y val="0.43197424092480241"/>
            </c:manualLayout>
          </c:layout>
          <c:spPr>
            <a:noFill/>
            <a:ln>
              <a:noFill/>
            </a:ln>
            <a:effectLst/>
          </c:spPr>
          <c:txPr>
            <a:bodyPr rot="0" spcFirstLastPara="1" vertOverflow="ellipsis" wrap="square" anchor="t" anchorCtr="0"/>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568904"/>
        <c:crosses val="autoZero"/>
        <c:crossBetween val="midCat"/>
      </c:valAx>
      <c:spPr>
        <a:noFill/>
        <a:ln>
          <a:noFill/>
        </a:ln>
        <a:effectLst/>
      </c:spPr>
    </c:plotArea>
    <c:legend>
      <c:legendPos val="r"/>
      <c:layout>
        <c:manualLayout>
          <c:xMode val="edge"/>
          <c:yMode val="edge"/>
          <c:x val="0.53432172488506047"/>
          <c:y val="0.29791964176520946"/>
          <c:w val="0.44975844444126889"/>
          <c:h val="0.1604301075268817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4" ma:contentTypeDescription="Create a new document." ma:contentTypeScope="" ma:versionID="4ded7bc63afec7c77e991e75ec76f926">
  <xsd:schema xmlns:xsd="http://www.w3.org/2001/XMLSchema" xmlns:xs="http://www.w3.org/2001/XMLSchema" xmlns:p="http://schemas.microsoft.com/office/2006/metadata/properties" xmlns:ns3="eb36aaf7-c0ad-4e0a-93b7-c73b1e4a9621" targetNamespace="http://schemas.microsoft.com/office/2006/metadata/properties" ma:root="true" ma:fieldsID="e9f9dac989140465f80beae7d2fb1b68" ns3:_="">
    <xsd:import namespace="eb36aaf7-c0ad-4e0a-93b7-c73b1e4a96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01E27-BBE7-4C04-8F20-E3280720EB5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b36aaf7-c0ad-4e0a-93b7-c73b1e4a9621"/>
    <ds:schemaRef ds:uri="http://www.w3.org/XML/1998/namespace"/>
    <ds:schemaRef ds:uri="http://purl.org/dc/dcmitype/"/>
  </ds:schemaRefs>
</ds:datastoreItem>
</file>

<file path=customXml/itemProps2.xml><?xml version="1.0" encoding="utf-8"?>
<ds:datastoreItem xmlns:ds="http://schemas.openxmlformats.org/officeDocument/2006/customXml" ds:itemID="{15B8978A-FCF9-4D24-84EC-EF1EC0412008}">
  <ds:schemaRefs>
    <ds:schemaRef ds:uri="http://schemas.microsoft.com/sharepoint/v3/contenttype/forms"/>
  </ds:schemaRefs>
</ds:datastoreItem>
</file>

<file path=customXml/itemProps3.xml><?xml version="1.0" encoding="utf-8"?>
<ds:datastoreItem xmlns:ds="http://schemas.openxmlformats.org/officeDocument/2006/customXml" ds:itemID="{0D28E402-A78B-4DA9-B07F-812D1F453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E77CE5-AEBA-4378-BA3C-6C6DE1327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6926</Words>
  <Characters>37082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43921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Jensen, Mike</dc:creator>
  <cp:lastModifiedBy>Lee, Kate</cp:lastModifiedBy>
  <cp:revision>2</cp:revision>
  <cp:lastPrinted>2020-01-06T12:15:00Z</cp:lastPrinted>
  <dcterms:created xsi:type="dcterms:W3CDTF">2021-02-01T14:49:00Z</dcterms:created>
  <dcterms:modified xsi:type="dcterms:W3CDTF">2021-02-01T14:49:00Z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